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A4E" w:rsidRPr="00C153E6" w:rsidRDefault="007C6A4E" w:rsidP="00F879E7">
      <w:pPr>
        <w:pStyle w:val="Heading3"/>
        <w:rPr>
          <w:color w:val="3366FF"/>
          <w:lang w:val="en-GB"/>
        </w:rPr>
      </w:pPr>
      <w:bookmarkStart w:id="0" w:name="_Toc498240540"/>
      <w:bookmarkStart w:id="1" w:name="_Toc498240796"/>
      <w:bookmarkStart w:id="2" w:name="_Toc500060165"/>
      <w:bookmarkStart w:id="3" w:name="_Toc501713634"/>
      <w:bookmarkStart w:id="4" w:name="_Toc501713773"/>
      <w:bookmarkStart w:id="5" w:name="_Toc503170523"/>
      <w:bookmarkStart w:id="6" w:name="_Toc503290242"/>
      <w:bookmarkStart w:id="7" w:name="_Toc504579902"/>
      <w:r w:rsidRPr="00C153E6">
        <w:rPr>
          <w:color w:val="3366FF"/>
          <w:lang w:val="en-GB"/>
        </w:rPr>
        <w:t>Commonwealth Association of Legislative Counsel</w:t>
      </w:r>
      <w:bookmarkEnd w:id="0"/>
      <w:bookmarkEnd w:id="1"/>
      <w:bookmarkEnd w:id="2"/>
      <w:bookmarkEnd w:id="3"/>
      <w:bookmarkEnd w:id="4"/>
      <w:bookmarkEnd w:id="5"/>
      <w:bookmarkEnd w:id="6"/>
      <w:bookmarkEnd w:id="7"/>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341D1DD8" wp14:editId="5C0EB6F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C153E6" w:rsidRDefault="00692AED"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January</w:t>
      </w:r>
      <w:r w:rsidR="00721104" w:rsidRPr="00C153E6">
        <w:t xml:space="preserve"> </w:t>
      </w:r>
      <w:r w:rsidR="007C6A4E" w:rsidRPr="00C153E6">
        <w:t>201</w:t>
      </w:r>
      <w:r>
        <w:t>8</w:t>
      </w:r>
      <w:r w:rsidR="007C6A4E" w:rsidRPr="00C153E6">
        <w:t xml:space="preserve"> (Issue No. </w:t>
      </w:r>
      <w:r>
        <w:t>1</w:t>
      </w:r>
      <w:r w:rsidR="007C6A4E" w:rsidRPr="00C153E6">
        <w:t xml:space="preserve"> of 201</w:t>
      </w:r>
      <w:r>
        <w:t>8</w:t>
      </w:r>
      <w:r w:rsidR="007C6A4E" w:rsidRPr="00C153E6">
        <w:t>)</w:t>
      </w:r>
    </w:p>
    <w:p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rsidR="007C6A4E" w:rsidRPr="007C6A4E" w:rsidRDefault="007C6A4E" w:rsidP="0040577C">
      <w:pPr>
        <w:pStyle w:val="Heading6"/>
      </w:pPr>
      <w:r w:rsidRPr="007C6A4E">
        <w:t>Issue No</w:t>
      </w:r>
      <w:r w:rsidR="00136075">
        <w:t xml:space="preserve">. </w:t>
      </w:r>
      <w:r w:rsidR="00692AED">
        <w:t>1</w:t>
      </w:r>
      <w:r w:rsidRPr="007C6A4E">
        <w:t xml:space="preserve"> of 201</w:t>
      </w:r>
      <w:r w:rsidR="00692AED">
        <w:t>8</w:t>
      </w:r>
    </w:p>
    <w:p w:rsidR="007C6A4E" w:rsidRDefault="007C6A4E" w:rsidP="009F407B">
      <w:pPr>
        <w:pStyle w:val="Normaltext1"/>
      </w:pPr>
      <w:r w:rsidRPr="00136075">
        <w:rPr>
          <w:i/>
        </w:rPr>
        <w:t>Editor in Chief</w:t>
      </w:r>
      <w:r w:rsidR="00AE1B5B">
        <w:t xml:space="preserve"> </w:t>
      </w:r>
      <w:r w:rsidR="00AE1B5B">
        <w:sym w:font="Symbol" w:char="F02D"/>
      </w:r>
      <w:r w:rsidR="00AE1B5B">
        <w:t xml:space="preserve"> </w:t>
      </w:r>
      <w:r w:rsidRPr="007C6A4E">
        <w:t>John Mark Keyes</w:t>
      </w:r>
    </w:p>
    <w:p w:rsidR="00C51013" w:rsidRPr="007C6A4E" w:rsidRDefault="00C51013" w:rsidP="009F407B">
      <w:pPr>
        <w:pStyle w:val="Normaltext1"/>
      </w:pPr>
      <w:r w:rsidRPr="00C51013">
        <w:rPr>
          <w:i/>
        </w:rPr>
        <w:t>Editorial Board</w:t>
      </w:r>
      <w:r>
        <w:t xml:space="preserve"> </w:t>
      </w:r>
      <w:r w:rsidR="00AE1B5B">
        <w:sym w:font="Symbol" w:char="F02D"/>
      </w:r>
      <w:r>
        <w:t xml:space="preserve"> </w:t>
      </w:r>
      <w:r w:rsidR="00927C33">
        <w:t xml:space="preserve">Bethea Christian, </w:t>
      </w:r>
      <w:r>
        <w:t>Therese Perera, Bilika Simamba</w:t>
      </w:r>
    </w:p>
    <w:p w:rsidR="007C6A4E" w:rsidRPr="007C6A4E" w:rsidRDefault="007C6A4E" w:rsidP="0040577C">
      <w:pPr>
        <w:pStyle w:val="Heading6"/>
      </w:pPr>
      <w:r w:rsidRPr="007C6A4E">
        <w:t>CALC Council</w:t>
      </w:r>
    </w:p>
    <w:p w:rsidR="008D1C2C" w:rsidRDefault="008D1C2C" w:rsidP="009F407B">
      <w:pPr>
        <w:pStyle w:val="Names"/>
      </w:pPr>
      <w:r>
        <w:rPr>
          <w:i/>
        </w:rPr>
        <w:t xml:space="preserve">President </w:t>
      </w:r>
      <w:r>
        <w:rPr>
          <w:i/>
        </w:rPr>
        <w:sym w:font="Symbol" w:char="F02D"/>
      </w:r>
      <w:r>
        <w:rPr>
          <w:i/>
        </w:rPr>
        <w:t xml:space="preserve"> </w:t>
      </w:r>
      <w:r>
        <w:t>Brenda King, First Legislative Counsel, Northern Ireland</w:t>
      </w:r>
    </w:p>
    <w:p w:rsidR="008D1C2C" w:rsidRDefault="008D1C2C" w:rsidP="009F407B">
      <w:pPr>
        <w:pStyle w:val="Names"/>
      </w:pPr>
      <w:r>
        <w:rPr>
          <w:i/>
        </w:rPr>
        <w:t xml:space="preserve">Vice President </w:t>
      </w:r>
      <w:r>
        <w:rPr>
          <w:i/>
        </w:rPr>
        <w:sym w:font="Symbol" w:char="F02D"/>
      </w:r>
      <w:r>
        <w:rPr>
          <w:i/>
        </w:rPr>
        <w:t xml:space="preserve"> </w:t>
      </w:r>
      <w:r>
        <w:t xml:space="preserve">Katy LeRoy, Parliamentary Counsel, New Zealand </w:t>
      </w:r>
    </w:p>
    <w:p w:rsidR="008D1C2C" w:rsidRDefault="008D1C2C" w:rsidP="009F407B">
      <w:pPr>
        <w:pStyle w:val="Names"/>
      </w:pPr>
      <w:r>
        <w:rPr>
          <w:i/>
        </w:rPr>
        <w:t xml:space="preserve">Secretary </w:t>
      </w:r>
      <w:r>
        <w:rPr>
          <w:i/>
        </w:rPr>
        <w:sym w:font="Symbol" w:char="F02D"/>
      </w:r>
      <w:r>
        <w:rPr>
          <w:i/>
        </w:rPr>
        <w:t xml:space="preserve"> </w:t>
      </w:r>
      <w:r>
        <w:t>Ross Carter, Parliamentary Counsel, New Zealand</w:t>
      </w:r>
    </w:p>
    <w:p w:rsidR="008D1C2C" w:rsidRDefault="008D1C2C" w:rsidP="009F407B">
      <w:pPr>
        <w:pStyle w:val="Names"/>
      </w:pPr>
      <w:r>
        <w:rPr>
          <w:i/>
        </w:rPr>
        <w:t xml:space="preserve">Treasurer </w:t>
      </w:r>
      <w:r>
        <w:rPr>
          <w:i/>
        </w:rPr>
        <w:sym w:font="Symbol" w:char="F02D"/>
      </w:r>
      <w:r>
        <w:rPr>
          <w:i/>
        </w:rPr>
        <w:t xml:space="preserve"> </w:t>
      </w:r>
      <w:r>
        <w:t>John Mark Keyes, Sessional Professor, University of Ottawa, Canada</w:t>
      </w:r>
    </w:p>
    <w:p w:rsidR="008D1C2C" w:rsidRDefault="008D1C2C" w:rsidP="009F407B">
      <w:pPr>
        <w:pStyle w:val="Normaltext1"/>
      </w:pPr>
      <w:r>
        <w:t xml:space="preserve">Council Members </w:t>
      </w:r>
      <w:r>
        <w:sym w:font="Symbol" w:char="F02D"/>
      </w:r>
    </w:p>
    <w:p w:rsidR="008D1C2C" w:rsidRDefault="008D1C2C" w:rsidP="009F407B">
      <w:pPr>
        <w:pStyle w:val="Names"/>
      </w:pPr>
      <w:r>
        <w:t>Michelle Daley, Senior Legislative Counsel, Cayman Islands</w:t>
      </w:r>
    </w:p>
    <w:p w:rsidR="008D1C2C" w:rsidRDefault="008D1C2C" w:rsidP="009F407B">
      <w:pPr>
        <w:pStyle w:val="Names"/>
      </w:pPr>
      <w:r>
        <w:t>Richard Denis, Deputy Law Clerk and Parliamentary Counsel, House of Commons, Canada</w:t>
      </w:r>
    </w:p>
    <w:p w:rsidR="008D1C2C" w:rsidRDefault="00B13601" w:rsidP="009F407B">
      <w:pPr>
        <w:pStyle w:val="Names"/>
      </w:pPr>
      <w:r>
        <w:t>Nola Fa</w:t>
      </w:r>
      <w:r w:rsidR="008D1C2C">
        <w:t xml:space="preserve">asau, </w:t>
      </w:r>
      <w:r w:rsidRPr="00B13601">
        <w:t xml:space="preserve">Legal Drafting Officer, Pacific Islands Forum Secretariat, </w:t>
      </w:r>
      <w:r w:rsidR="008D1C2C">
        <w:t>Fiji</w:t>
      </w:r>
    </w:p>
    <w:p w:rsidR="008D1C2C" w:rsidRDefault="008D1C2C" w:rsidP="009F407B">
      <w:pPr>
        <w:pStyle w:val="Names"/>
      </w:pPr>
      <w:r>
        <w:t>Adrian Hogarth, Parliamentary Counsel, Office of Parliamentary Counsel, United Kingdom</w:t>
      </w:r>
    </w:p>
    <w:p w:rsidR="008D1C2C" w:rsidRDefault="008D1C2C" w:rsidP="009F407B">
      <w:pPr>
        <w:pStyle w:val="Names"/>
      </w:pPr>
      <w:r>
        <w:t>Geoff Lawn, Parliamentary Counsel, Western Australia</w:t>
      </w:r>
    </w:p>
    <w:p w:rsidR="008D1C2C" w:rsidRDefault="008D1C2C" w:rsidP="009F407B">
      <w:pPr>
        <w:pStyle w:val="Names"/>
      </w:pPr>
      <w:r>
        <w:t>Dingaan Mangena, Advocate, Department of Justice and Constitutional Development, South Africa</w:t>
      </w:r>
    </w:p>
    <w:p w:rsidR="008D1C2C" w:rsidRDefault="008D1C2C" w:rsidP="009F407B">
      <w:pPr>
        <w:pStyle w:val="Names"/>
      </w:pPr>
      <w:r>
        <w:t>Lucy Marsh-Smith, Assistant Law Draftsman, Jersey</w:t>
      </w:r>
    </w:p>
    <w:p w:rsidR="008D1C2C" w:rsidRDefault="008D1C2C" w:rsidP="009F407B">
      <w:pPr>
        <w:pStyle w:val="Names"/>
      </w:pPr>
      <w:r>
        <w:t>Johnson Okello, Legislative Drafter, The Senate, Kenya</w:t>
      </w:r>
    </w:p>
    <w:p w:rsidR="008D1C2C" w:rsidRDefault="008D1C2C" w:rsidP="008D1C2C">
      <w:pPr>
        <w:tabs>
          <w:tab w:val="left" w:pos="1210"/>
        </w:tabs>
        <w:ind w:left="720"/>
        <w:rPr>
          <w:rFonts w:eastAsia="Calibri"/>
          <w:color w:val="000000"/>
          <w:spacing w:val="-3"/>
          <w:szCs w:val="25"/>
          <w:lang w:val="en-IN"/>
        </w:rPr>
      </w:pPr>
      <w:r>
        <w:rPr>
          <w:rFonts w:eastAsia="Calibri"/>
          <w:color w:val="000000"/>
          <w:spacing w:val="-3"/>
          <w:szCs w:val="25"/>
          <w:lang w:val="en-IN"/>
        </w:rPr>
        <w:t>Lawrence Peng, Senior Assistant Law Draftsman, Hong Kong</w:t>
      </w:r>
    </w:p>
    <w:p w:rsidR="008D1C2C" w:rsidRDefault="008D1C2C" w:rsidP="008D1C2C">
      <w:pPr>
        <w:tabs>
          <w:tab w:val="left" w:pos="1210"/>
        </w:tabs>
        <w:ind w:left="720"/>
        <w:rPr>
          <w:rFonts w:eastAsia="Calibri"/>
          <w:color w:val="000000"/>
          <w:spacing w:val="-3"/>
          <w:szCs w:val="25"/>
          <w:lang w:val="en-IN"/>
        </w:rPr>
      </w:pPr>
      <w:r>
        <w:rPr>
          <w:rFonts w:eastAsia="Calibri"/>
          <w:color w:val="000000"/>
          <w:spacing w:val="-3"/>
          <w:szCs w:val="25"/>
          <w:lang w:val="en-IN"/>
        </w:rPr>
        <w:t>Therese R. Perera, P.C., Specialist in Legislation and Legislative Drafting/ Retired Legal Draftsman, Colombo, Sri Lanka</w:t>
      </w:r>
    </w:p>
    <w:p w:rsidR="00321958" w:rsidRDefault="00321958">
      <w:pPr>
        <w:spacing w:before="0" w:after="0"/>
        <w:rPr>
          <w:rFonts w:ascii="Arial" w:eastAsiaTheme="majorEastAsia" w:hAnsi="Arial" w:cs="Arial"/>
          <w:b/>
          <w:i/>
          <w:iCs/>
          <w:sz w:val="20"/>
          <w:szCs w:val="20"/>
          <w:lang w:val="en-GB"/>
        </w:rPr>
      </w:pPr>
      <w:r>
        <w:br w:type="page"/>
      </w:r>
    </w:p>
    <w:p w:rsidR="0040577C" w:rsidRDefault="0040577C" w:rsidP="0040577C">
      <w:pPr>
        <w:pStyle w:val="Heading6"/>
      </w:pPr>
      <w:r>
        <w:lastRenderedPageBreak/>
        <w:t>Editorial Policies</w:t>
      </w:r>
    </w:p>
    <w:p w:rsidR="0040577C" w:rsidRDefault="0040577C" w:rsidP="009F407B">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rsidR="009E5384" w:rsidRDefault="00900B87" w:rsidP="009F407B">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 xml:space="preserve">word processing </w:t>
      </w:r>
      <w:r w:rsidR="009E5384">
        <w:t>software.</w:t>
      </w:r>
    </w:p>
    <w:p w:rsidR="0040577C" w:rsidRPr="007C6A4E" w:rsidRDefault="009E5384" w:rsidP="009F407B">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rsidR="0040577C" w:rsidRPr="007C6A4E" w:rsidRDefault="0040577C" w:rsidP="009F407B">
      <w:pPr>
        <w:pStyle w:val="Normaltext2"/>
      </w:pPr>
      <w:r w:rsidRPr="007C6A4E">
        <w:t xml:space="preserve">John Mark Keyes, Editor in Chief, </w:t>
      </w:r>
      <w:r w:rsidRPr="007C6A4E">
        <w:rPr>
          <w:i/>
        </w:rPr>
        <w:t>The Loophole</w:t>
      </w:r>
      <w:r w:rsidRPr="007C6A4E">
        <w:t xml:space="preserve">, </w:t>
      </w:r>
    </w:p>
    <w:p w:rsidR="007C6A4E" w:rsidRPr="0034368B" w:rsidRDefault="0040577C" w:rsidP="009F407B">
      <w:pPr>
        <w:pStyle w:val="Normaltext2"/>
        <w:rPr>
          <w:lang w:val="fr-CA"/>
        </w:rPr>
      </w:pPr>
      <w:r w:rsidRPr="0034368B">
        <w:rPr>
          <w:i/>
          <w:lang w:val="fr-CA"/>
        </w:rPr>
        <w:t xml:space="preserve">E-mail: </w:t>
      </w:r>
      <w:hyperlink r:id="rId10" w:history="1">
        <w:r w:rsidRPr="00C51013">
          <w:rPr>
            <w:rStyle w:val="Hyperlink"/>
            <w:iCs/>
            <w:lang w:val="fr-CA"/>
          </w:rPr>
          <w:t>calc.loophole@gmail.com</w:t>
        </w:r>
      </w:hyperlink>
      <w:r w:rsidRPr="0034368B">
        <w:rPr>
          <w:lang w:val="fr-CA"/>
        </w:rPr>
        <w:t xml:space="preserve"> </w:t>
      </w:r>
    </w:p>
    <w:p w:rsidR="0040577C" w:rsidRPr="007C6A4E" w:rsidRDefault="0040577C" w:rsidP="0040577C">
      <w:pPr>
        <w:pStyle w:val="Heading6"/>
      </w:pPr>
      <w:r w:rsidRPr="007C6A4E">
        <w:t>Copyright</w:t>
      </w:r>
    </w:p>
    <w:p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rsidR="007C6A4E" w:rsidRDefault="00860814" w:rsidP="00900B87">
      <w:pPr>
        <w:pStyle w:val="Heading6"/>
        <w:rPr>
          <w:rFonts w:eastAsia="Calibri"/>
        </w:rPr>
      </w:pPr>
      <w:r>
        <w:rPr>
          <w:rFonts w:eastAsia="Calibri"/>
        </w:rPr>
        <w:t>Disclaimer</w:t>
      </w:r>
    </w:p>
    <w:p w:rsidR="00900B87" w:rsidRPr="007C6A4E" w:rsidRDefault="00900B87" w:rsidP="009F407B">
      <w:pPr>
        <w:pStyle w:val="Normaltext1"/>
      </w:pPr>
      <w:r w:rsidRPr="007C6A4E">
        <w:t>The views expressed in the articles contained in this issue are those of the contributors alone and do not necessarily reflect those of the CALC Council.</w:t>
      </w:r>
    </w:p>
    <w:p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lastRenderedPageBreak/>
        <w:t>Contents</w:t>
      </w:r>
    </w:p>
    <w:p w:rsidR="00652D54" w:rsidRDefault="007C6A4E">
      <w:pPr>
        <w:pStyle w:val="TOC1"/>
        <w:tabs>
          <w:tab w:val="right" w:leader="dot" w:pos="9350"/>
        </w:tabs>
        <w:rPr>
          <w:rFonts w:asciiTheme="minorHAnsi" w:eastAsiaTheme="minorEastAsia" w:hAnsiTheme="minorHAnsi" w:cstheme="minorBidi"/>
          <w:noProof/>
          <w:sz w:val="22"/>
          <w:szCs w:val="22"/>
          <w:lang w:val="en-CA" w:eastAsia="en-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504661141" w:history="1">
        <w:r w:rsidR="00652D54" w:rsidRPr="00106E0C">
          <w:rPr>
            <w:rStyle w:val="Hyperlink"/>
            <w:noProof/>
            <w:lang w:val="en-CA"/>
          </w:rPr>
          <w:t>Editor’s Notes</w:t>
        </w:r>
        <w:r w:rsidR="00652D54">
          <w:rPr>
            <w:noProof/>
            <w:webHidden/>
          </w:rPr>
          <w:tab/>
        </w:r>
        <w:r w:rsidR="00652D54">
          <w:rPr>
            <w:noProof/>
            <w:webHidden/>
          </w:rPr>
          <w:fldChar w:fldCharType="begin"/>
        </w:r>
        <w:r w:rsidR="00652D54">
          <w:rPr>
            <w:noProof/>
            <w:webHidden/>
          </w:rPr>
          <w:instrText xml:space="preserve"> PAGEREF _Toc504661141 \h </w:instrText>
        </w:r>
        <w:r w:rsidR="00652D54">
          <w:rPr>
            <w:noProof/>
            <w:webHidden/>
          </w:rPr>
        </w:r>
        <w:r w:rsidR="00652D54">
          <w:rPr>
            <w:noProof/>
            <w:webHidden/>
          </w:rPr>
          <w:fldChar w:fldCharType="separate"/>
        </w:r>
        <w:r w:rsidR="00D10211">
          <w:rPr>
            <w:noProof/>
            <w:webHidden/>
          </w:rPr>
          <w:t>1</w:t>
        </w:r>
        <w:r w:rsidR="00652D54">
          <w:rPr>
            <w:noProof/>
            <w:webHidden/>
          </w:rPr>
          <w:fldChar w:fldCharType="end"/>
        </w:r>
      </w:hyperlink>
    </w:p>
    <w:p w:rsidR="00652D54" w:rsidRDefault="00D22D1E">
      <w:pPr>
        <w:pStyle w:val="TOC1"/>
        <w:tabs>
          <w:tab w:val="right" w:leader="dot" w:pos="9350"/>
        </w:tabs>
        <w:rPr>
          <w:rFonts w:asciiTheme="minorHAnsi" w:eastAsiaTheme="minorEastAsia" w:hAnsiTheme="minorHAnsi" w:cstheme="minorBidi"/>
          <w:noProof/>
          <w:sz w:val="22"/>
          <w:szCs w:val="22"/>
          <w:lang w:val="en-CA" w:eastAsia="en-CA"/>
        </w:rPr>
      </w:pPr>
      <w:hyperlink w:anchor="_Toc504661142" w:history="1">
        <w:r w:rsidR="00652D54" w:rsidRPr="00106E0C">
          <w:rPr>
            <w:rStyle w:val="Hyperlink"/>
            <w:noProof/>
          </w:rPr>
          <w:t>Upcoming Conferences</w:t>
        </w:r>
      </w:hyperlink>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43" w:history="1">
        <w:r w:rsidR="00652D54" w:rsidRPr="00106E0C">
          <w:rPr>
            <w:rStyle w:val="Hyperlink"/>
            <w:noProof/>
          </w:rPr>
          <w:t>Fifth Annual International Conference on Legislation and Law Reform</w:t>
        </w:r>
        <w:r w:rsidR="00652D54">
          <w:rPr>
            <w:noProof/>
            <w:webHidden/>
          </w:rPr>
          <w:tab/>
        </w:r>
        <w:r w:rsidR="00652D54">
          <w:rPr>
            <w:noProof/>
            <w:webHidden/>
          </w:rPr>
          <w:fldChar w:fldCharType="begin"/>
        </w:r>
        <w:r w:rsidR="00652D54">
          <w:rPr>
            <w:noProof/>
            <w:webHidden/>
          </w:rPr>
          <w:instrText xml:space="preserve"> PAGEREF _Toc504661143 \h </w:instrText>
        </w:r>
        <w:r w:rsidR="00652D54">
          <w:rPr>
            <w:noProof/>
            <w:webHidden/>
          </w:rPr>
        </w:r>
        <w:r w:rsidR="00652D54">
          <w:rPr>
            <w:noProof/>
            <w:webHidden/>
          </w:rPr>
          <w:fldChar w:fldCharType="separate"/>
        </w:r>
        <w:r w:rsidR="00D10211">
          <w:rPr>
            <w:noProof/>
            <w:webHidden/>
          </w:rPr>
          <w:t>2</w:t>
        </w:r>
        <w:r w:rsidR="00652D54">
          <w:rPr>
            <w:noProof/>
            <w:webHidden/>
          </w:rPr>
          <w:fldChar w:fldCharType="end"/>
        </w:r>
      </w:hyperlink>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44" w:history="1">
        <w:r w:rsidR="00652D54" w:rsidRPr="00106E0C">
          <w:rPr>
            <w:rStyle w:val="Hyperlink"/>
            <w:noProof/>
            <w:lang w:val="en-CA" w:eastAsia="en-CA"/>
          </w:rPr>
          <w:t xml:space="preserve">Delivering Brexit: Legislative Sprint or Marathon? – </w:t>
        </w:r>
        <w:r w:rsidR="00652D54" w:rsidRPr="00106E0C">
          <w:rPr>
            <w:rStyle w:val="Hyperlink"/>
            <w:noProof/>
          </w:rPr>
          <w:t>E</w:t>
        </w:r>
        <w:r w:rsidR="00652D54" w:rsidRPr="00106E0C">
          <w:rPr>
            <w:rStyle w:val="Hyperlink"/>
            <w:noProof/>
            <w:lang w:val="en-CA" w:eastAsia="en-CA"/>
          </w:rPr>
          <w:t>urope Regional Conference</w:t>
        </w:r>
        <w:r w:rsidR="00652D54">
          <w:rPr>
            <w:noProof/>
            <w:webHidden/>
          </w:rPr>
          <w:tab/>
        </w:r>
        <w:r w:rsidR="00652D54">
          <w:rPr>
            <w:noProof/>
            <w:webHidden/>
          </w:rPr>
          <w:fldChar w:fldCharType="begin"/>
        </w:r>
        <w:r w:rsidR="00652D54">
          <w:rPr>
            <w:noProof/>
            <w:webHidden/>
          </w:rPr>
          <w:instrText xml:space="preserve"> PAGEREF _Toc504661144 \h </w:instrText>
        </w:r>
        <w:r w:rsidR="00652D54">
          <w:rPr>
            <w:noProof/>
            <w:webHidden/>
          </w:rPr>
        </w:r>
        <w:r w:rsidR="00652D54">
          <w:rPr>
            <w:noProof/>
            <w:webHidden/>
          </w:rPr>
          <w:fldChar w:fldCharType="separate"/>
        </w:r>
        <w:r w:rsidR="00D10211">
          <w:rPr>
            <w:noProof/>
            <w:webHidden/>
          </w:rPr>
          <w:t>2</w:t>
        </w:r>
        <w:r w:rsidR="00652D54">
          <w:rPr>
            <w:noProof/>
            <w:webHidden/>
          </w:rPr>
          <w:fldChar w:fldCharType="end"/>
        </w:r>
      </w:hyperlink>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45" w:history="1">
        <w:r w:rsidR="00652D54" w:rsidRPr="00106E0C">
          <w:rPr>
            <w:rStyle w:val="Hyperlink"/>
            <w:noProof/>
          </w:rPr>
          <w:t>Charting Legislative Courses in a Complex World – C</w:t>
        </w:r>
        <w:r w:rsidR="00652D54">
          <w:rPr>
            <w:rStyle w:val="Hyperlink"/>
            <w:noProof/>
          </w:rPr>
          <w:t>IAJ Legislative</w:t>
        </w:r>
        <w:r w:rsidR="00652D54" w:rsidRPr="00106E0C">
          <w:rPr>
            <w:rStyle w:val="Hyperlink"/>
            <w:noProof/>
          </w:rPr>
          <w:t xml:space="preserve"> Drafting Conference</w:t>
        </w:r>
        <w:r w:rsidR="00652D54">
          <w:rPr>
            <w:noProof/>
            <w:webHidden/>
          </w:rPr>
          <w:tab/>
        </w:r>
        <w:r w:rsidR="00652D54">
          <w:rPr>
            <w:noProof/>
            <w:webHidden/>
          </w:rPr>
          <w:fldChar w:fldCharType="begin"/>
        </w:r>
        <w:r w:rsidR="00652D54">
          <w:rPr>
            <w:noProof/>
            <w:webHidden/>
          </w:rPr>
          <w:instrText xml:space="preserve"> PAGEREF _Toc504661145 \h </w:instrText>
        </w:r>
        <w:r w:rsidR="00652D54">
          <w:rPr>
            <w:noProof/>
            <w:webHidden/>
          </w:rPr>
        </w:r>
        <w:r w:rsidR="00652D54">
          <w:rPr>
            <w:noProof/>
            <w:webHidden/>
          </w:rPr>
          <w:fldChar w:fldCharType="separate"/>
        </w:r>
        <w:r w:rsidR="00D10211">
          <w:rPr>
            <w:noProof/>
            <w:webHidden/>
          </w:rPr>
          <w:t>3</w:t>
        </w:r>
        <w:r w:rsidR="00652D54">
          <w:rPr>
            <w:noProof/>
            <w:webHidden/>
          </w:rPr>
          <w:fldChar w:fldCharType="end"/>
        </w:r>
      </w:hyperlink>
    </w:p>
    <w:p w:rsidR="00652D54" w:rsidRDefault="00D22D1E">
      <w:pPr>
        <w:pStyle w:val="TOC1"/>
        <w:tabs>
          <w:tab w:val="right" w:leader="dot" w:pos="9350"/>
        </w:tabs>
        <w:rPr>
          <w:rFonts w:asciiTheme="minorHAnsi" w:eastAsiaTheme="minorEastAsia" w:hAnsiTheme="minorHAnsi" w:cstheme="minorBidi"/>
          <w:noProof/>
          <w:sz w:val="22"/>
          <w:szCs w:val="22"/>
          <w:lang w:val="en-CA" w:eastAsia="en-CA"/>
        </w:rPr>
      </w:pPr>
      <w:hyperlink w:anchor="_Toc504661146" w:history="1">
        <w:r w:rsidR="00652D54" w:rsidRPr="00106E0C">
          <w:rPr>
            <w:rStyle w:val="Hyperlink"/>
            <w:noProof/>
          </w:rPr>
          <w:t>Mathematics in Legislation</w:t>
        </w:r>
      </w:hyperlink>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47" w:history="1">
        <w:r w:rsidR="00652D54" w:rsidRPr="00106E0C">
          <w:rPr>
            <w:rStyle w:val="Hyperlink"/>
            <w:noProof/>
          </w:rPr>
          <w:t>Nicky Armstrong</w:t>
        </w:r>
        <w:r w:rsidR="00652D54">
          <w:rPr>
            <w:noProof/>
            <w:webHidden/>
          </w:rPr>
          <w:tab/>
        </w:r>
        <w:r w:rsidR="00652D54">
          <w:rPr>
            <w:noProof/>
            <w:webHidden/>
          </w:rPr>
          <w:fldChar w:fldCharType="begin"/>
        </w:r>
        <w:r w:rsidR="00652D54">
          <w:rPr>
            <w:noProof/>
            <w:webHidden/>
          </w:rPr>
          <w:instrText xml:space="preserve"> PAGEREF _Toc504661147 \h </w:instrText>
        </w:r>
        <w:r w:rsidR="00652D54">
          <w:rPr>
            <w:noProof/>
            <w:webHidden/>
          </w:rPr>
        </w:r>
        <w:r w:rsidR="00652D54">
          <w:rPr>
            <w:noProof/>
            <w:webHidden/>
          </w:rPr>
          <w:fldChar w:fldCharType="separate"/>
        </w:r>
        <w:r w:rsidR="00D10211">
          <w:rPr>
            <w:noProof/>
            <w:webHidden/>
          </w:rPr>
          <w:t>4</w:t>
        </w:r>
        <w:r w:rsidR="00652D54">
          <w:rPr>
            <w:noProof/>
            <w:webHidden/>
          </w:rPr>
          <w:fldChar w:fldCharType="end"/>
        </w:r>
      </w:hyperlink>
    </w:p>
    <w:p w:rsidR="00652D54" w:rsidRDefault="00D22D1E">
      <w:pPr>
        <w:pStyle w:val="TOC1"/>
        <w:tabs>
          <w:tab w:val="right" w:leader="dot" w:pos="9350"/>
        </w:tabs>
        <w:rPr>
          <w:rFonts w:asciiTheme="minorHAnsi" w:eastAsiaTheme="minorEastAsia" w:hAnsiTheme="minorHAnsi" w:cstheme="minorBidi"/>
          <w:noProof/>
          <w:sz w:val="22"/>
          <w:szCs w:val="22"/>
          <w:lang w:val="en-CA" w:eastAsia="en-CA"/>
        </w:rPr>
      </w:pPr>
      <w:hyperlink w:anchor="_Toc504661148" w:history="1">
        <w:r w:rsidR="00652D54" w:rsidRPr="00106E0C">
          <w:rPr>
            <w:rStyle w:val="Hyperlink"/>
            <w:noProof/>
          </w:rPr>
          <w:t>Multilingual Legislative Drafting in Swiss Cantons: Burden or Blessing?</w:t>
        </w:r>
      </w:hyperlink>
      <w:r w:rsidR="00652D54">
        <w:rPr>
          <w:rFonts w:asciiTheme="minorHAnsi" w:eastAsiaTheme="minorEastAsia" w:hAnsiTheme="minorHAnsi" w:cstheme="minorBidi"/>
          <w:noProof/>
          <w:sz w:val="22"/>
          <w:szCs w:val="22"/>
          <w:lang w:val="en-CA" w:eastAsia="en-CA"/>
        </w:rPr>
        <w:t xml:space="preserve"> </w:t>
      </w:r>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49" w:history="1">
        <w:r w:rsidR="00652D54" w:rsidRPr="00106E0C">
          <w:rPr>
            <w:rStyle w:val="Hyperlink"/>
            <w:noProof/>
          </w:rPr>
          <w:t>Felix Uhlmann and Stefan Höfler</w:t>
        </w:r>
        <w:r w:rsidR="00652D54">
          <w:rPr>
            <w:noProof/>
            <w:webHidden/>
          </w:rPr>
          <w:tab/>
        </w:r>
        <w:r w:rsidR="00652D54">
          <w:rPr>
            <w:noProof/>
            <w:webHidden/>
          </w:rPr>
          <w:fldChar w:fldCharType="begin"/>
        </w:r>
        <w:r w:rsidR="00652D54">
          <w:rPr>
            <w:noProof/>
            <w:webHidden/>
          </w:rPr>
          <w:instrText xml:space="preserve"> PAGEREF _Toc504661149 \h </w:instrText>
        </w:r>
        <w:r w:rsidR="00652D54">
          <w:rPr>
            <w:noProof/>
            <w:webHidden/>
          </w:rPr>
        </w:r>
        <w:r w:rsidR="00652D54">
          <w:rPr>
            <w:noProof/>
            <w:webHidden/>
          </w:rPr>
          <w:fldChar w:fldCharType="separate"/>
        </w:r>
        <w:r w:rsidR="00D10211">
          <w:rPr>
            <w:noProof/>
            <w:webHidden/>
          </w:rPr>
          <w:t>54</w:t>
        </w:r>
        <w:r w:rsidR="00652D54">
          <w:rPr>
            <w:noProof/>
            <w:webHidden/>
          </w:rPr>
          <w:fldChar w:fldCharType="end"/>
        </w:r>
      </w:hyperlink>
    </w:p>
    <w:p w:rsidR="00652D54" w:rsidRDefault="00D22D1E">
      <w:pPr>
        <w:pStyle w:val="TOC1"/>
        <w:tabs>
          <w:tab w:val="right" w:leader="dot" w:pos="9350"/>
        </w:tabs>
        <w:rPr>
          <w:rFonts w:asciiTheme="minorHAnsi" w:eastAsiaTheme="minorEastAsia" w:hAnsiTheme="minorHAnsi" w:cstheme="minorBidi"/>
          <w:noProof/>
          <w:sz w:val="22"/>
          <w:szCs w:val="22"/>
          <w:lang w:val="en-CA" w:eastAsia="en-CA"/>
        </w:rPr>
      </w:pPr>
      <w:hyperlink w:anchor="_Toc504661150" w:history="1">
        <w:r w:rsidR="00652D54" w:rsidRPr="00106E0C">
          <w:rPr>
            <w:rStyle w:val="Hyperlink"/>
            <w:noProof/>
          </w:rPr>
          <w:t>Challenges related to the incorporation of Inuit Qaujimajatuqangit into legislation</w:t>
        </w:r>
      </w:hyperlink>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51" w:history="1">
        <w:r w:rsidR="00652D54" w:rsidRPr="00106E0C">
          <w:rPr>
            <w:rStyle w:val="Hyperlink"/>
            <w:rFonts w:eastAsia="Arial Unicode MS" w:cs="Arial Unicode MS"/>
            <w:noProof/>
          </w:rPr>
          <w:t>Thomas Wilhelm Ahlfors</w:t>
        </w:r>
        <w:r w:rsidR="00652D54">
          <w:rPr>
            <w:noProof/>
            <w:webHidden/>
          </w:rPr>
          <w:tab/>
        </w:r>
        <w:r w:rsidR="00652D54">
          <w:rPr>
            <w:noProof/>
            <w:webHidden/>
          </w:rPr>
          <w:fldChar w:fldCharType="begin"/>
        </w:r>
        <w:r w:rsidR="00652D54">
          <w:rPr>
            <w:noProof/>
            <w:webHidden/>
          </w:rPr>
          <w:instrText xml:space="preserve"> PAGEREF _Toc504661151 \h </w:instrText>
        </w:r>
        <w:r w:rsidR="00652D54">
          <w:rPr>
            <w:noProof/>
            <w:webHidden/>
          </w:rPr>
        </w:r>
        <w:r w:rsidR="00652D54">
          <w:rPr>
            <w:noProof/>
            <w:webHidden/>
          </w:rPr>
          <w:fldChar w:fldCharType="separate"/>
        </w:r>
        <w:r w:rsidR="00D10211">
          <w:rPr>
            <w:noProof/>
            <w:webHidden/>
          </w:rPr>
          <w:t>63</w:t>
        </w:r>
        <w:r w:rsidR="00652D54">
          <w:rPr>
            <w:noProof/>
            <w:webHidden/>
          </w:rPr>
          <w:fldChar w:fldCharType="end"/>
        </w:r>
      </w:hyperlink>
    </w:p>
    <w:p w:rsidR="00652D54" w:rsidRDefault="00D22D1E">
      <w:pPr>
        <w:pStyle w:val="TOC1"/>
        <w:tabs>
          <w:tab w:val="right" w:leader="dot" w:pos="9350"/>
        </w:tabs>
        <w:rPr>
          <w:rFonts w:asciiTheme="minorHAnsi" w:eastAsiaTheme="minorEastAsia" w:hAnsiTheme="minorHAnsi" w:cstheme="minorBidi"/>
          <w:noProof/>
          <w:sz w:val="22"/>
          <w:szCs w:val="22"/>
          <w:lang w:val="en-CA" w:eastAsia="en-CA"/>
        </w:rPr>
      </w:pPr>
      <w:hyperlink w:anchor="_Toc504661152" w:history="1">
        <w:r w:rsidR="00652D54" w:rsidRPr="00106E0C">
          <w:rPr>
            <w:rStyle w:val="Hyperlink"/>
            <w:noProof/>
          </w:rPr>
          <w:t>Reflecting an indigenous perspective in legislation: the challenge in New Zealand</w:t>
        </w:r>
      </w:hyperlink>
    </w:p>
    <w:p w:rsidR="00652D54" w:rsidRDefault="00D22D1E">
      <w:pPr>
        <w:pStyle w:val="TOC2"/>
        <w:tabs>
          <w:tab w:val="right" w:leader="dot" w:pos="9350"/>
        </w:tabs>
        <w:rPr>
          <w:rFonts w:asciiTheme="minorHAnsi" w:eastAsiaTheme="minorEastAsia" w:hAnsiTheme="minorHAnsi" w:cstheme="minorBidi"/>
          <w:noProof/>
          <w:sz w:val="22"/>
          <w:szCs w:val="22"/>
          <w:lang w:val="en-CA" w:eastAsia="en-CA"/>
        </w:rPr>
      </w:pPr>
      <w:hyperlink w:anchor="_Toc504661153" w:history="1">
        <w:r w:rsidR="00652D54" w:rsidRPr="00106E0C">
          <w:rPr>
            <w:rStyle w:val="Hyperlink"/>
            <w:noProof/>
          </w:rPr>
          <w:t>Briar Gordon</w:t>
        </w:r>
        <w:r w:rsidR="00652D54">
          <w:rPr>
            <w:noProof/>
            <w:webHidden/>
          </w:rPr>
          <w:tab/>
        </w:r>
        <w:r w:rsidR="00652D54">
          <w:rPr>
            <w:noProof/>
            <w:webHidden/>
          </w:rPr>
          <w:fldChar w:fldCharType="begin"/>
        </w:r>
        <w:r w:rsidR="00652D54">
          <w:rPr>
            <w:noProof/>
            <w:webHidden/>
          </w:rPr>
          <w:instrText xml:space="preserve"> PAGEREF _Toc504661153 \h </w:instrText>
        </w:r>
        <w:r w:rsidR="00652D54">
          <w:rPr>
            <w:noProof/>
            <w:webHidden/>
          </w:rPr>
        </w:r>
        <w:r w:rsidR="00652D54">
          <w:rPr>
            <w:noProof/>
            <w:webHidden/>
          </w:rPr>
          <w:fldChar w:fldCharType="separate"/>
        </w:r>
        <w:r w:rsidR="00D10211">
          <w:rPr>
            <w:noProof/>
            <w:webHidden/>
          </w:rPr>
          <w:t>81</w:t>
        </w:r>
        <w:r w:rsidR="00652D54">
          <w:rPr>
            <w:noProof/>
            <w:webHidden/>
          </w:rPr>
          <w:fldChar w:fldCharType="end"/>
        </w:r>
      </w:hyperlink>
    </w:p>
    <w:p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rsidR="007C6A4E" w:rsidRDefault="007C6A4E" w:rsidP="007C6A4E">
      <w:pPr>
        <w:spacing w:line="300" w:lineRule="exact"/>
        <w:jc w:val="center"/>
        <w:rPr>
          <w:sz w:val="22"/>
          <w:szCs w:val="22"/>
          <w:lang w:val="en-GB"/>
        </w:rPr>
      </w:pPr>
      <w:r w:rsidRPr="007C6A4E">
        <w:rPr>
          <w:sz w:val="22"/>
          <w:szCs w:val="22"/>
          <w:lang w:val="en-GB"/>
        </w:rPr>
        <w:t>___________________</w:t>
      </w:r>
    </w:p>
    <w:p w:rsidR="00793337" w:rsidRPr="007C6A4E" w:rsidRDefault="00793337" w:rsidP="007C6A4E">
      <w:pPr>
        <w:spacing w:line="300" w:lineRule="exact"/>
        <w:jc w:val="center"/>
        <w:rPr>
          <w:sz w:val="22"/>
          <w:szCs w:val="22"/>
          <w:lang w:val="en-GB"/>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spacing w:before="0" w:after="0" w:line="260" w:lineRule="exact"/>
        <w:jc w:val="center"/>
        <w:rPr>
          <w:rFonts w:ascii="Arial" w:hAnsi="Arial" w:cs="Arial"/>
          <w:sz w:val="18"/>
          <w:szCs w:val="16"/>
          <w:lang w:val="en-NZ" w:eastAsia="en-GB"/>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rsidR="0086694E" w:rsidRPr="007C6A4E" w:rsidRDefault="0086694E" w:rsidP="0086694E">
      <w:pPr>
        <w:pStyle w:val="Heading1"/>
        <w:rPr>
          <w:lang w:val="en-CA"/>
        </w:rPr>
      </w:pPr>
      <w:bookmarkStart w:id="8" w:name="_Toc498240541"/>
      <w:bookmarkStart w:id="9" w:name="_Toc498240797"/>
      <w:bookmarkStart w:id="10" w:name="_Toc500060166"/>
      <w:bookmarkStart w:id="11" w:name="_Toc501713635"/>
      <w:bookmarkStart w:id="12" w:name="_Toc501713774"/>
      <w:bookmarkStart w:id="13" w:name="_Toc503170524"/>
      <w:bookmarkStart w:id="14" w:name="_Toc503290243"/>
      <w:bookmarkStart w:id="15" w:name="_Toc504579903"/>
      <w:bookmarkStart w:id="16" w:name="_Toc504661141"/>
      <w:bookmarkStart w:id="17" w:name="_Toc239625819"/>
      <w:bookmarkStart w:id="18" w:name="_Toc241007447"/>
      <w:bookmarkStart w:id="19" w:name="_Toc250017401"/>
      <w:bookmarkStart w:id="20" w:name="_Toc250858346"/>
      <w:bookmarkStart w:id="21" w:name="_Toc301692024"/>
      <w:bookmarkStart w:id="22" w:name="_Toc307740322"/>
      <w:r w:rsidRPr="007C6A4E">
        <w:rPr>
          <w:lang w:val="en-CA"/>
        </w:rPr>
        <w:lastRenderedPageBreak/>
        <w:t>Editor’s Notes</w:t>
      </w:r>
      <w:bookmarkEnd w:id="8"/>
      <w:bookmarkEnd w:id="9"/>
      <w:bookmarkEnd w:id="10"/>
      <w:bookmarkEnd w:id="11"/>
      <w:bookmarkEnd w:id="12"/>
      <w:bookmarkEnd w:id="13"/>
      <w:bookmarkEnd w:id="14"/>
      <w:bookmarkEnd w:id="15"/>
      <w:bookmarkEnd w:id="16"/>
    </w:p>
    <w:p w:rsidR="00385114" w:rsidRDefault="00E773B1" w:rsidP="009F407B">
      <w:pPr>
        <w:pStyle w:val="Normaltext1"/>
      </w:pPr>
      <w:r>
        <w:t>This first issue of 2018 address</w:t>
      </w:r>
      <w:r w:rsidR="00385114">
        <w:t>es linguistic</w:t>
      </w:r>
      <w:r>
        <w:t xml:space="preserve"> diversity in legislation. </w:t>
      </w:r>
    </w:p>
    <w:p w:rsidR="00E773B1" w:rsidRDefault="00E773B1" w:rsidP="009F407B">
      <w:pPr>
        <w:pStyle w:val="Normaltext1"/>
      </w:pPr>
      <w:r>
        <w:t xml:space="preserve">It begins with Nicky Armstrong’s paper on </w:t>
      </w:r>
      <w:r w:rsidRPr="00E773B1">
        <w:rPr>
          <w:b/>
          <w:i/>
        </w:rPr>
        <w:t>Mathematics in Legislation</w:t>
      </w:r>
      <w:r>
        <w:t xml:space="preserve">. This might seem like an unlikely combination. After all, legislation is supposed to be written in </w:t>
      </w:r>
      <w:r w:rsidR="00565038">
        <w:t>a natural language</w:t>
      </w:r>
      <w:r>
        <w:t xml:space="preserve"> that people can read and understand. What would mathematics (which uses a specialized </w:t>
      </w:r>
      <w:r w:rsidR="00565038">
        <w:t xml:space="preserve">artificial </w:t>
      </w:r>
      <w:r>
        <w:t>language) have to do with writing legislation? Nicky answers this question with a host of examples of mathematical concepts and formulae provid</w:t>
      </w:r>
      <w:r w:rsidR="00385114">
        <w:t>ing</w:t>
      </w:r>
      <w:r>
        <w:t xml:space="preserve"> remarkably effective ways of dealing with policy concepts that are largely mathematical in nature. She also provides much helpful guidance on how these concepts should (and should not) be deployed in legislation.</w:t>
      </w:r>
    </w:p>
    <w:p w:rsidR="00565038" w:rsidRDefault="00E773B1" w:rsidP="00565038">
      <w:pPr>
        <w:pStyle w:val="Normaltext1"/>
      </w:pPr>
      <w:r>
        <w:t xml:space="preserve">From mathematics, we turn next to legislation written in more than one natural language. </w:t>
      </w:r>
      <w:r w:rsidR="00565038">
        <w:t xml:space="preserve">Felix Uhlmann and </w:t>
      </w:r>
      <w:r w:rsidR="00565038">
        <w:rPr>
          <w:lang w:val="en-US"/>
        </w:rPr>
        <w:t xml:space="preserve">Stefan </w:t>
      </w:r>
      <w:r w:rsidR="00565038">
        <w:t xml:space="preserve">Höfler </w:t>
      </w:r>
      <w:r w:rsidR="003828A6">
        <w:t>(</w:t>
      </w:r>
      <w:r w:rsidR="003828A6" w:rsidRPr="003828A6">
        <w:rPr>
          <w:b/>
          <w:i/>
        </w:rPr>
        <w:t>Multilingual Legislative Drafting in the Swiss Cantons: Blessing or Burden</w:t>
      </w:r>
      <w:r w:rsidR="003828A6">
        <w:t xml:space="preserve">) </w:t>
      </w:r>
      <w:r w:rsidR="00565038">
        <w:t>introduce us to the Swiss legislative drafting systems that produce laws in German, French, Italian and Romansh. The various Swiss Cantons use three different drafting systems described as c</w:t>
      </w:r>
      <w:r w:rsidR="00565038" w:rsidRPr="00B765D8">
        <w:t xml:space="preserve">o-drafting, </w:t>
      </w:r>
      <w:r w:rsidR="00565038">
        <w:t>c</w:t>
      </w:r>
      <w:r w:rsidR="00565038" w:rsidRPr="00B765D8">
        <w:t xml:space="preserve">o-revision, </w:t>
      </w:r>
      <w:r w:rsidR="00565038">
        <w:t>c</w:t>
      </w:r>
      <w:r w:rsidR="00565038" w:rsidRPr="00B765D8">
        <w:t>o-editing</w:t>
      </w:r>
      <w:r w:rsidR="00565038">
        <w:t>. In a sense, Switzerland is a microcosm for multilingual drafting, exemplifying the range of possible approaches and the circumstances in which one or other of them is most appropriate.</w:t>
      </w:r>
    </w:p>
    <w:p w:rsidR="00565038" w:rsidRDefault="00565038" w:rsidP="00565038">
      <w:pPr>
        <w:pStyle w:val="Normaltext1"/>
      </w:pPr>
      <w:r>
        <w:t xml:space="preserve">The next two articles move into a rather different linguistic world, beyond languages and legal systems based in Europe to legal traditions </w:t>
      </w:r>
      <w:r w:rsidR="00385114">
        <w:t>o</w:t>
      </w:r>
      <w:r>
        <w:t xml:space="preserve">f indigenous communities in countries where European systems were implanted by colonialism. </w:t>
      </w:r>
    </w:p>
    <w:p w:rsidR="00565038" w:rsidRDefault="00565038" w:rsidP="00565038">
      <w:pPr>
        <w:pStyle w:val="Normaltext1"/>
      </w:pPr>
      <w:r>
        <w:t xml:space="preserve">Thomas Ahlfors </w:t>
      </w:r>
      <w:r w:rsidR="003828A6">
        <w:t>(</w:t>
      </w:r>
      <w:r w:rsidR="003828A6" w:rsidRPr="003828A6">
        <w:rPr>
          <w:b/>
          <w:i/>
        </w:rPr>
        <w:t>Challenges related to the incorporation of Inuit Qaujimajatuqangit into legislation</w:t>
      </w:r>
      <w:r w:rsidR="003828A6">
        <w:t xml:space="preserve">) </w:t>
      </w:r>
      <w:r>
        <w:t xml:space="preserve">takes us to Canada’s northern territory of Nunavut, which is largely peopled by the Inuit. </w:t>
      </w:r>
      <w:r w:rsidR="00385114">
        <w:t>T</w:t>
      </w:r>
      <w:r w:rsidR="002C377E">
        <w:t xml:space="preserve">his territory </w:t>
      </w:r>
      <w:r w:rsidR="00385114">
        <w:t>has</w:t>
      </w:r>
      <w:r w:rsidR="002C377E">
        <w:t xml:space="preserve"> three official languages: English, French and </w:t>
      </w:r>
      <w:r w:rsidR="00C45594">
        <w:t>Inuktut</w:t>
      </w:r>
      <w:r w:rsidR="002C377E">
        <w:t>. Thomas’s article considers both the linguistic and conceptual challenges of integrating the Inuit notion of “</w:t>
      </w:r>
      <w:r w:rsidR="00C45594" w:rsidRPr="00C45594">
        <w:rPr>
          <w:i/>
        </w:rPr>
        <w:t xml:space="preserve">Inuit </w:t>
      </w:r>
      <w:r w:rsidR="002C377E" w:rsidRPr="00FC6CED">
        <w:rPr>
          <w:i/>
        </w:rPr>
        <w:t>Qaujimajatuqangit</w:t>
      </w:r>
      <w:r w:rsidR="002C377E">
        <w:t>” (which translates as “that which Inuit have long known to be true”) into the legislation of Nunavut.</w:t>
      </w:r>
    </w:p>
    <w:p w:rsidR="002C377E" w:rsidRDefault="002C377E" w:rsidP="00565038">
      <w:pPr>
        <w:pStyle w:val="Normaltext1"/>
      </w:pPr>
      <w:r>
        <w:t xml:space="preserve">Briar Gordon </w:t>
      </w:r>
      <w:r w:rsidR="000A42A9">
        <w:t>(</w:t>
      </w:r>
      <w:r w:rsidR="000A42A9" w:rsidRPr="000A42A9">
        <w:rPr>
          <w:b/>
          <w:i/>
        </w:rPr>
        <w:t>Reflecting an indigenous perspective in legislation: the challenge in New Zealand</w:t>
      </w:r>
      <w:r w:rsidR="000A42A9">
        <w:t xml:space="preserve">) </w:t>
      </w:r>
      <w:r>
        <w:t xml:space="preserve">takes us to the warmer climes of New Zealand and that country’s legislative journey to include the Māori perspective of the world, </w:t>
      </w:r>
      <w:r>
        <w:rPr>
          <w:i/>
        </w:rPr>
        <w:t xml:space="preserve">te ao </w:t>
      </w:r>
      <w:r w:rsidRPr="007A0CD0">
        <w:rPr>
          <w:i/>
        </w:rPr>
        <w:t>Māori</w:t>
      </w:r>
      <w:r>
        <w:t>, in the statute law of New Zealand. Her article provides a compelling account of the history of British-Māori relations, notably the Treaty of Waitangi, and the legislative techniques that have been used to unite two quite distinct languages and culture in legislation.</w:t>
      </w:r>
    </w:p>
    <w:p w:rsidR="002C377E" w:rsidRPr="00B765D8" w:rsidRDefault="002C377E" w:rsidP="00565038">
      <w:pPr>
        <w:pStyle w:val="Normaltext1"/>
      </w:pPr>
      <w:r>
        <w:t>Finally, 2018 promises to be a year rich in legislative drafting conferences with three being planned for Jersey, Washington and Ottawa. Details are provided</w:t>
      </w:r>
      <w:r w:rsidR="006251BE">
        <w:t xml:space="preserve"> on the next page.</w:t>
      </w:r>
    </w:p>
    <w:p w:rsidR="00475C38" w:rsidRDefault="00565038" w:rsidP="000A42A9">
      <w:pPr>
        <w:pStyle w:val="Normaltext1"/>
      </w:pPr>
      <w:r>
        <w:t xml:space="preserve"> </w:t>
      </w:r>
      <w:r w:rsidR="00475C38">
        <w:t>John Mark Keyes</w:t>
      </w:r>
    </w:p>
    <w:p w:rsidR="001214BD" w:rsidRPr="000A42A9" w:rsidRDefault="0086694E" w:rsidP="000A42A9">
      <w:pPr>
        <w:pStyle w:val="signatureblock"/>
      </w:pPr>
      <w:r w:rsidRPr="007C6A4E">
        <w:t xml:space="preserve">Ottawa, </w:t>
      </w:r>
      <w:r w:rsidR="00692AED">
        <w:t>January</w:t>
      </w:r>
      <w:r w:rsidR="00DB16DF">
        <w:t>,</w:t>
      </w:r>
      <w:r w:rsidRPr="007C6A4E">
        <w:t xml:space="preserve"> 201</w:t>
      </w:r>
      <w:r w:rsidR="00692AED">
        <w:t>8</w:t>
      </w:r>
      <w:r w:rsidR="001214BD">
        <w:br w:type="page"/>
      </w:r>
    </w:p>
    <w:p w:rsidR="00793337" w:rsidRDefault="001214BD" w:rsidP="001214BD">
      <w:pPr>
        <w:pStyle w:val="Heading1"/>
      </w:pPr>
      <w:bookmarkStart w:id="23" w:name="_Toc504579904"/>
      <w:bookmarkStart w:id="24" w:name="_Toc504661142"/>
      <w:bookmarkEnd w:id="17"/>
      <w:bookmarkEnd w:id="18"/>
      <w:bookmarkEnd w:id="19"/>
      <w:bookmarkEnd w:id="20"/>
      <w:bookmarkEnd w:id="21"/>
      <w:bookmarkEnd w:id="22"/>
      <w:r>
        <w:lastRenderedPageBreak/>
        <w:t>Upcoming Conferences</w:t>
      </w:r>
      <w:bookmarkEnd w:id="23"/>
      <w:bookmarkEnd w:id="24"/>
    </w:p>
    <w:p w:rsidR="001214BD" w:rsidRDefault="001214BD" w:rsidP="001214BD">
      <w:pPr>
        <w:pStyle w:val="Heading2"/>
      </w:pPr>
      <w:bookmarkStart w:id="25" w:name="_Toc504299474"/>
      <w:bookmarkStart w:id="26" w:name="_Toc504579905"/>
      <w:bookmarkStart w:id="27" w:name="_Toc504661143"/>
      <w:r>
        <w:t>Fifth Annual International Conference on Legislation and Law Reform</w:t>
      </w:r>
      <w:bookmarkEnd w:id="25"/>
      <w:bookmarkEnd w:id="26"/>
      <w:bookmarkEnd w:id="27"/>
    </w:p>
    <w:p w:rsidR="001214BD" w:rsidRDefault="001214BD" w:rsidP="001214BD">
      <w:pPr>
        <w:pStyle w:val="Normaltext1"/>
        <w:rPr>
          <w:szCs w:val="24"/>
        </w:rPr>
      </w:pPr>
      <w:r>
        <w:t xml:space="preserve">The Fifth Annual International Conference on Legislation and Law Reform will be held at American University’s Washington College of Law in </w:t>
      </w:r>
      <w:r w:rsidRPr="00E04131">
        <w:rPr>
          <w:b/>
        </w:rPr>
        <w:t>Washington, DC, on Thursday and Friday, April 12 and 13, 2018</w:t>
      </w:r>
      <w:r>
        <w:t xml:space="preserve">. </w:t>
      </w:r>
    </w:p>
    <w:p w:rsidR="001214BD" w:rsidRDefault="001214BD" w:rsidP="001214BD">
      <w:pPr>
        <w:pStyle w:val="Normaltext1"/>
      </w:pPr>
      <w:r>
        <w:t xml:space="preserve">The conference will focus on how laws are written in the United States and around the world at the international, national, and subnational levels. The conference has proved to be an excellent opportunity for legislative experts from around the world to meet and exchange knowledge and perspectives on a topic of great importance to governance: the drafting and reform of laws. </w:t>
      </w:r>
    </w:p>
    <w:p w:rsidR="001214BD" w:rsidRDefault="001214BD" w:rsidP="001214BD">
      <w:pPr>
        <w:pStyle w:val="Normaltext1"/>
      </w:pPr>
      <w:r>
        <w:t>The agenda for the 2018 conference is nearly final, and over 20 speakers are confirmed hailing from across the world, including Australia, Belgium, China, Ethiopia, Ghana, the Netherlands, South Africa, Sweden, Uganda, the United Kingdom, and the United States.</w:t>
      </w:r>
    </w:p>
    <w:p w:rsidR="001214BD" w:rsidRDefault="001214BD" w:rsidP="001214BD">
      <w:pPr>
        <w:pStyle w:val="Normaltext1"/>
      </w:pPr>
      <w:r>
        <w:t xml:space="preserve">The standard registration price is $275US. This includes two days of programming, two breakfasts, two lunches, and an evening reception. There are discounted prices for Federal Bar Association members and law students. </w:t>
      </w:r>
    </w:p>
    <w:p w:rsidR="001214BD" w:rsidRDefault="001214BD" w:rsidP="001214BD">
      <w:pPr>
        <w:pStyle w:val="Normaltext1"/>
      </w:pPr>
      <w:r>
        <w:t xml:space="preserve">To register, and for a preliminary version of the agenda, please visit the conference website: </w:t>
      </w:r>
      <w:hyperlink r:id="rId12" w:tgtFrame="_blank" w:history="1">
        <w:r>
          <w:rPr>
            <w:rStyle w:val="Hyperlink"/>
          </w:rPr>
          <w:t>www.ilegis.org</w:t>
        </w:r>
      </w:hyperlink>
      <w:r>
        <w:t xml:space="preserve">. Any queries about the conference may be sent to </w:t>
      </w:r>
      <w:hyperlink r:id="rId13" w:tgtFrame="_blank" w:history="1">
        <w:r>
          <w:rPr>
            <w:rStyle w:val="Hyperlink"/>
          </w:rPr>
          <w:t>info@ilegis.org</w:t>
        </w:r>
      </w:hyperlink>
      <w:r>
        <w:t>.</w:t>
      </w:r>
    </w:p>
    <w:p w:rsidR="002611C5" w:rsidRPr="002611C5" w:rsidRDefault="00FC6CED" w:rsidP="002611C5">
      <w:pPr>
        <w:pStyle w:val="Heading2"/>
        <w:rPr>
          <w:lang w:val="en-CA" w:eastAsia="en-CA"/>
        </w:rPr>
      </w:pPr>
      <w:bookmarkStart w:id="28" w:name="_Toc504661144"/>
      <w:r>
        <w:rPr>
          <w:lang w:val="en-CA" w:eastAsia="en-CA"/>
        </w:rPr>
        <w:t>Delivering Brexit: Legislative Sprint or Marathon?</w:t>
      </w:r>
      <w:r w:rsidR="003828A6">
        <w:rPr>
          <w:lang w:val="en-CA" w:eastAsia="en-CA"/>
        </w:rPr>
        <w:t xml:space="preserve"> – </w:t>
      </w:r>
      <w:bookmarkStart w:id="29" w:name="_Toc504299475"/>
      <w:bookmarkStart w:id="30" w:name="_Toc504579906"/>
      <w:r w:rsidR="003828A6">
        <w:t>E</w:t>
      </w:r>
      <w:r w:rsidR="003828A6" w:rsidRPr="002611C5">
        <w:rPr>
          <w:lang w:val="en-CA" w:eastAsia="en-CA"/>
        </w:rPr>
        <w:t>urope Region</w:t>
      </w:r>
      <w:r w:rsidR="003828A6">
        <w:rPr>
          <w:lang w:val="en-CA" w:eastAsia="en-CA"/>
        </w:rPr>
        <w:t>al</w:t>
      </w:r>
      <w:r w:rsidR="003828A6" w:rsidRPr="002611C5">
        <w:rPr>
          <w:lang w:val="en-CA" w:eastAsia="en-CA"/>
        </w:rPr>
        <w:t xml:space="preserve"> Conference</w:t>
      </w:r>
      <w:bookmarkEnd w:id="28"/>
      <w:bookmarkEnd w:id="29"/>
      <w:bookmarkEnd w:id="30"/>
    </w:p>
    <w:p w:rsidR="003828A6" w:rsidRDefault="002611C5" w:rsidP="000A42A9">
      <w:pPr>
        <w:pStyle w:val="Normaltext1"/>
      </w:pPr>
      <w:r w:rsidRPr="002611C5">
        <w:rPr>
          <w:lang w:eastAsia="en-CA"/>
        </w:rPr>
        <w:t xml:space="preserve">The first CALC conference for the Europe region is being planned </w:t>
      </w:r>
      <w:r w:rsidR="00E04131">
        <w:rPr>
          <w:lang w:eastAsia="en-CA"/>
        </w:rPr>
        <w:t xml:space="preserve">to take place in </w:t>
      </w:r>
      <w:r w:rsidR="00E04131" w:rsidRPr="00E04131">
        <w:rPr>
          <w:b/>
          <w:lang w:eastAsia="en-CA"/>
        </w:rPr>
        <w:t xml:space="preserve">Jersey mid-September 2018 </w:t>
      </w:r>
      <w:r w:rsidR="00E04131">
        <w:rPr>
          <w:lang w:eastAsia="en-CA"/>
        </w:rPr>
        <w:t>(</w:t>
      </w:r>
      <w:r w:rsidRPr="002611C5">
        <w:rPr>
          <w:lang w:eastAsia="en-CA"/>
        </w:rPr>
        <w:t>likely 20-21 September</w:t>
      </w:r>
      <w:r w:rsidR="00E04131">
        <w:rPr>
          <w:lang w:eastAsia="en-CA"/>
        </w:rPr>
        <w:t>)</w:t>
      </w:r>
      <w:r>
        <w:rPr>
          <w:lang w:eastAsia="en-CA"/>
        </w:rPr>
        <w:t xml:space="preserve"> </w:t>
      </w:r>
      <w:r w:rsidRPr="002611C5">
        <w:rPr>
          <w:lang w:eastAsia="en-CA"/>
        </w:rPr>
        <w:t>with optional social activities the following weekend. The theme of the conference is Brexit from a drafters’ perspective with particular emphasis on how it might affect territories outside of the UK. Though it is a regional conference we will be pleased to have delegates from the overseas territories and anyone else interested in this important and topical matter. </w:t>
      </w:r>
      <w:r w:rsidR="003828A6">
        <w:t xml:space="preserve">The </w:t>
      </w:r>
      <w:r w:rsidR="000A42A9">
        <w:t xml:space="preserve">proposed </w:t>
      </w:r>
      <w:r w:rsidR="003828A6">
        <w:t>topics:</w:t>
      </w:r>
    </w:p>
    <w:p w:rsidR="003828A6" w:rsidRDefault="003828A6" w:rsidP="000A42A9">
      <w:pPr>
        <w:pStyle w:val="Bullet1"/>
      </w:pPr>
      <w:r>
        <w:t>Examining the sprint: reflecting on the withdrawal legislation</w:t>
      </w:r>
    </w:p>
    <w:p w:rsidR="003828A6" w:rsidRDefault="003828A6" w:rsidP="000A42A9">
      <w:pPr>
        <w:pStyle w:val="Bullet1"/>
      </w:pPr>
      <w:r>
        <w:t>The longer journey: legislating post-Brexit</w:t>
      </w:r>
    </w:p>
    <w:p w:rsidR="003828A6" w:rsidRDefault="003828A6" w:rsidP="000A42A9">
      <w:pPr>
        <w:pStyle w:val="Bullet1"/>
      </w:pPr>
      <w:r>
        <w:t>Brexit: how are the Crown Dependencies and the Overseas Territories placed in the race?</w:t>
      </w:r>
    </w:p>
    <w:p w:rsidR="003828A6" w:rsidRDefault="003828A6" w:rsidP="000A42A9">
      <w:pPr>
        <w:pStyle w:val="Bullet1"/>
      </w:pPr>
      <w:r>
        <w:t>Land borders with the EU: legislative implications</w:t>
      </w:r>
    </w:p>
    <w:p w:rsidR="003828A6" w:rsidRDefault="003828A6" w:rsidP="000A42A9">
      <w:pPr>
        <w:pStyle w:val="Bullet1"/>
      </w:pPr>
      <w:r>
        <w:t>Drafting instructions: coping with the hiatus (with reference to key areas such as customs and taxation, immigration, trade, financial services and agricultural and fisheries)</w:t>
      </w:r>
    </w:p>
    <w:p w:rsidR="003828A6" w:rsidRDefault="003828A6" w:rsidP="000A42A9">
      <w:pPr>
        <w:pStyle w:val="Bullet1"/>
      </w:pPr>
      <w:r>
        <w:t>Henry VIII takes up the baton: Brexit and powers</w:t>
      </w:r>
    </w:p>
    <w:p w:rsidR="003828A6" w:rsidRDefault="003828A6" w:rsidP="000A42A9">
      <w:pPr>
        <w:pStyle w:val="Bullet1"/>
      </w:pPr>
      <w:r>
        <w:t>Statutory Interpretation post-Brexit.</w:t>
      </w:r>
    </w:p>
    <w:p w:rsidR="002611C5" w:rsidRPr="00652D54" w:rsidRDefault="003828A6" w:rsidP="00890FF5">
      <w:pPr>
        <w:pStyle w:val="Normaltext1"/>
      </w:pPr>
      <w:r>
        <w:lastRenderedPageBreak/>
        <w:t>Anyone interested in presenting a paper related to one or more of these themes is asked to send a brief abstract and short biography to Lucy Marsh-Smith (</w:t>
      </w:r>
      <w:hyperlink r:id="rId14" w:history="1">
        <w:r w:rsidRPr="00B1113C">
          <w:rPr>
            <w:rStyle w:val="Hyperlink"/>
          </w:rPr>
          <w:t>L.MarshSmith@gov.je</w:t>
        </w:r>
      </w:hyperlink>
      <w:r>
        <w:t xml:space="preserve">) by </w:t>
      </w:r>
      <w:r>
        <w:rPr>
          <w:b/>
        </w:rPr>
        <w:t>31 March 2018.</w:t>
      </w:r>
      <w:r w:rsidR="00652D54">
        <w:rPr>
          <w:b/>
        </w:rPr>
        <w:t xml:space="preserve"> </w:t>
      </w:r>
      <w:r w:rsidR="00652D54">
        <w:t xml:space="preserve">Further details about the conference will be available at </w:t>
      </w:r>
      <w:hyperlink r:id="rId15" w:history="1">
        <w:r w:rsidR="00652D54" w:rsidRPr="00785421">
          <w:rPr>
            <w:rStyle w:val="Hyperlink"/>
          </w:rPr>
          <w:t>http://www.calc.ngo/conferences</w:t>
        </w:r>
      </w:hyperlink>
      <w:r w:rsidR="00652D54">
        <w:t xml:space="preserve">. </w:t>
      </w:r>
    </w:p>
    <w:p w:rsidR="001214BD" w:rsidRDefault="00FC6CED" w:rsidP="00C746A6">
      <w:pPr>
        <w:pStyle w:val="Heading2"/>
      </w:pPr>
      <w:bookmarkStart w:id="31" w:name="_Toc504299476"/>
      <w:bookmarkStart w:id="32" w:name="_Toc504579907"/>
      <w:bookmarkStart w:id="33" w:name="_Toc504661145"/>
      <w:r>
        <w:t xml:space="preserve">Charting Legislative Courses in a Complex World – </w:t>
      </w:r>
      <w:r w:rsidR="00C746A6">
        <w:t>C</w:t>
      </w:r>
      <w:r w:rsidR="00652D54">
        <w:t>IAJ</w:t>
      </w:r>
      <w:r w:rsidR="00C746A6">
        <w:t xml:space="preserve"> </w:t>
      </w:r>
      <w:r w:rsidR="00652D54">
        <w:t xml:space="preserve">Legislative </w:t>
      </w:r>
      <w:r w:rsidR="00C746A6">
        <w:t>Drafting Conference</w:t>
      </w:r>
      <w:bookmarkEnd w:id="31"/>
      <w:bookmarkEnd w:id="32"/>
      <w:bookmarkEnd w:id="33"/>
      <w:r>
        <w:t xml:space="preserve"> </w:t>
      </w:r>
    </w:p>
    <w:p w:rsidR="00C746A6" w:rsidRPr="00C746A6" w:rsidRDefault="00C746A6" w:rsidP="00FC6CED">
      <w:pPr>
        <w:pStyle w:val="Normaltext1"/>
      </w:pPr>
      <w:r>
        <w:t>The 19</w:t>
      </w:r>
      <w:r w:rsidRPr="00C746A6">
        <w:rPr>
          <w:vertAlign w:val="superscript"/>
        </w:rPr>
        <w:t>th</w:t>
      </w:r>
      <w:r>
        <w:t xml:space="preserve"> Legislative Drafting Conference of the Canadian Institute for the Administration of Justice (CIAJ) will take place </w:t>
      </w:r>
      <w:r w:rsidRPr="00E04131">
        <w:rPr>
          <w:b/>
        </w:rPr>
        <w:t>13-14 September 2018 in Ottawa</w:t>
      </w:r>
      <w:r w:rsidR="00E04131">
        <w:t xml:space="preserve"> </w:t>
      </w:r>
      <w:r w:rsidR="00E773B1">
        <w:t>on</w:t>
      </w:r>
      <w:r w:rsidR="00E04131">
        <w:t xml:space="preserve"> the theme of </w:t>
      </w:r>
      <w:r w:rsidR="00E04131" w:rsidRPr="00E04131">
        <w:rPr>
          <w:i/>
        </w:rPr>
        <w:t>Charting a Legislative Course in a Complex World</w:t>
      </w:r>
      <w:r>
        <w:t>.</w:t>
      </w:r>
      <w:r w:rsidR="00E04131">
        <w:t xml:space="preserve"> The starting point </w:t>
      </w:r>
      <w:r w:rsidR="00705FBB">
        <w:t xml:space="preserve">will be </w:t>
      </w:r>
      <w:r w:rsidR="00E04131">
        <w:t xml:space="preserve">what drives complexity in legislation, notably complex policy. Professor Robert Geyer, a noted scholar </w:t>
      </w:r>
      <w:r w:rsidR="00705FBB">
        <w:t xml:space="preserve">in this area </w:t>
      </w:r>
      <w:r w:rsidR="00E04131">
        <w:t>from Lancaster University in the UK, will kick off the conference with a keynote address</w:t>
      </w:r>
      <w:r w:rsidR="00705FBB">
        <w:t xml:space="preserve"> to be followed by two case-studies of complex legislative subjects: withdrawal from international trade agreements (notably Brexit) and the legalization of cannabis. The conference will also include workshops on law-making outside the usual processes for making statutes and delegated legislation, legislative revision (particularly in light of judicial decisions invalidating legislation), techniques for moving legislative files forward when they are stalled by policy issues, drafting for clients in small jurisdictions having limited policy-making resources and the interaction of legislation with indigenous legal traditions. Further details about the conference and how to register for it will soon be available at  </w:t>
      </w:r>
      <w:hyperlink r:id="rId16" w:history="1">
        <w:r w:rsidR="00E773B1" w:rsidRPr="00715B49">
          <w:rPr>
            <w:rStyle w:val="Hyperlink"/>
          </w:rPr>
          <w:t>https://ciaj-icaj.ca/en/</w:t>
        </w:r>
      </w:hyperlink>
      <w:r w:rsidR="00E773B1">
        <w:t xml:space="preserve">. </w:t>
      </w:r>
      <w:r w:rsidR="00705FBB">
        <w:t xml:space="preserve"> </w:t>
      </w:r>
    </w:p>
    <w:p w:rsidR="001214BD" w:rsidRDefault="001214BD" w:rsidP="001214BD"/>
    <w:p w:rsidR="001214BD" w:rsidRPr="001214BD" w:rsidRDefault="001214BD" w:rsidP="001214BD">
      <w:pPr>
        <w:sectPr w:rsidR="001214BD" w:rsidRPr="001214BD" w:rsidSect="00264FA6">
          <w:footnotePr>
            <w:numRestart w:val="eachSect"/>
          </w:footnotePr>
          <w:pgSz w:w="12240" w:h="15840"/>
          <w:pgMar w:top="1440" w:right="1440" w:bottom="1440" w:left="1440" w:header="720" w:footer="720" w:gutter="0"/>
          <w:pgNumType w:start="1"/>
          <w:cols w:space="720"/>
          <w:docGrid w:linePitch="360"/>
        </w:sectPr>
      </w:pPr>
    </w:p>
    <w:p w:rsidR="00D83EFF" w:rsidRDefault="00B23994" w:rsidP="00D83EFF">
      <w:pPr>
        <w:pStyle w:val="Heading1"/>
      </w:pPr>
      <w:bookmarkStart w:id="34" w:name="_Toc498240542"/>
      <w:bookmarkStart w:id="35" w:name="_Toc498240798"/>
      <w:bookmarkStart w:id="36" w:name="_Toc500060167"/>
      <w:bookmarkStart w:id="37" w:name="_Toc501713636"/>
      <w:bookmarkStart w:id="38" w:name="_Toc501713775"/>
      <w:bookmarkStart w:id="39" w:name="_Toc503170525"/>
      <w:bookmarkStart w:id="40" w:name="_Toc503290244"/>
      <w:bookmarkStart w:id="41" w:name="_Toc504579908"/>
      <w:bookmarkStart w:id="42" w:name="_Toc504661146"/>
      <w:r>
        <w:rPr>
          <w:b w:val="0"/>
        </w:rPr>
        <w:lastRenderedPageBreak/>
        <w:t>Mathematics in Legislation</w:t>
      </w:r>
      <w:bookmarkEnd w:id="34"/>
      <w:bookmarkEnd w:id="35"/>
      <w:bookmarkEnd w:id="36"/>
      <w:bookmarkEnd w:id="37"/>
      <w:bookmarkEnd w:id="38"/>
      <w:bookmarkEnd w:id="39"/>
      <w:bookmarkEnd w:id="40"/>
      <w:bookmarkEnd w:id="41"/>
      <w:bookmarkEnd w:id="42"/>
    </w:p>
    <w:p w:rsidR="00EF4EC1" w:rsidRDefault="00EF4EC1" w:rsidP="00EF4EC1">
      <w:pPr>
        <w:pStyle w:val="Heading1B"/>
      </w:pPr>
      <w:bookmarkStart w:id="43" w:name="_Toc498240543"/>
      <w:bookmarkStart w:id="44" w:name="_Toc498240799"/>
      <w:bookmarkStart w:id="45" w:name="_Toc498333332"/>
      <w:bookmarkStart w:id="46" w:name="_Toc500060168"/>
      <w:bookmarkStart w:id="47" w:name="_Toc501713637"/>
      <w:bookmarkStart w:id="48" w:name="_Toc501713776"/>
      <w:bookmarkStart w:id="49" w:name="_Toc503170526"/>
      <w:bookmarkStart w:id="50" w:name="_Toc503290245"/>
      <w:bookmarkStart w:id="51" w:name="_Toc504579909"/>
      <w:bookmarkStart w:id="52" w:name="_Toc504661147"/>
      <w:r>
        <w:t>Nicky Armstrong</w:t>
      </w:r>
      <w:r w:rsidRPr="00F6714D">
        <w:rPr>
          <w:vertAlign w:val="superscript"/>
        </w:rPr>
        <w:footnoteReference w:id="1"/>
      </w:r>
      <w:bookmarkEnd w:id="43"/>
      <w:bookmarkEnd w:id="44"/>
      <w:bookmarkEnd w:id="45"/>
      <w:bookmarkEnd w:id="46"/>
      <w:bookmarkEnd w:id="47"/>
      <w:bookmarkEnd w:id="48"/>
      <w:bookmarkEnd w:id="49"/>
      <w:bookmarkEnd w:id="50"/>
      <w:bookmarkEnd w:id="51"/>
      <w:bookmarkEnd w:id="52"/>
    </w:p>
    <w:p w:rsidR="00EF4EC1" w:rsidRDefault="00EF4EC1" w:rsidP="00EF4EC1">
      <w:pPr>
        <w:jc w:val="center"/>
      </w:pPr>
      <w:r>
        <w:rPr>
          <w:noProof/>
        </w:rPr>
        <w:drawing>
          <wp:inline distT="0" distB="0" distL="0" distR="0" wp14:anchorId="5673513E" wp14:editId="2100A585">
            <wp:extent cx="2058304"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strong Phot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8304" cy="2160000"/>
                    </a:xfrm>
                    <a:prstGeom prst="rect">
                      <a:avLst/>
                    </a:prstGeom>
                  </pic:spPr>
                </pic:pic>
              </a:graphicData>
            </a:graphic>
          </wp:inline>
        </w:drawing>
      </w:r>
    </w:p>
    <w:p w:rsidR="00EF4EC1" w:rsidRPr="004B6F89" w:rsidRDefault="00EF4EC1" w:rsidP="00EF4EC1">
      <w:pPr>
        <w:pStyle w:val="Abstractheading"/>
        <w:rPr>
          <w:lang w:val="en-CA"/>
        </w:rPr>
      </w:pPr>
      <w:r w:rsidRPr="004B6F89">
        <w:rPr>
          <w:lang w:val="en-CA"/>
        </w:rPr>
        <w:t>Abstract</w:t>
      </w:r>
    </w:p>
    <w:p w:rsidR="00EF4EC1" w:rsidRPr="004B6E8D" w:rsidRDefault="00EF4EC1" w:rsidP="00EF4EC1">
      <w:pPr>
        <w:pStyle w:val="Abstract"/>
        <w:rPr>
          <w:lang w:val="en-CA"/>
        </w:rPr>
      </w:pPr>
      <w:r w:rsidRPr="00D262C6">
        <w:rPr>
          <w:lang w:val="en-CA"/>
        </w:rPr>
        <w:t xml:space="preserve">This article </w:t>
      </w:r>
      <w:r>
        <w:rPr>
          <w:lang w:val="en-CA"/>
        </w:rPr>
        <w:t>looks at the use of mathematical symbols and formulae in legislation. It outlines considerations of clarity, precision and usability to be borne in mind when deciding whether to use them instead of words written in sentences. It also provides guidance on drafting and formatting mathematical formulae illustrated with many examples of how they should be used.</w:t>
      </w:r>
    </w:p>
    <w:p w:rsidR="00FC6CED" w:rsidRDefault="00EF4EC1" w:rsidP="00FC6CED">
      <w:pPr>
        <w:pStyle w:val="Heading3"/>
        <w:rPr>
          <w:rFonts w:asciiTheme="minorHAnsi" w:eastAsiaTheme="minorEastAsia" w:hAnsiTheme="minorHAnsi" w:cstheme="minorBidi"/>
          <w:b w:val="0"/>
          <w:noProof/>
          <w:szCs w:val="22"/>
          <w:lang w:val="en-CA" w:eastAsia="en-CA"/>
        </w:rPr>
      </w:pPr>
      <w:bookmarkStart w:id="53" w:name="_Toc498240800"/>
      <w:bookmarkStart w:id="54" w:name="_Toc500060169"/>
      <w:bookmarkStart w:id="55" w:name="_Toc501713638"/>
      <w:bookmarkStart w:id="56" w:name="_Toc501713777"/>
      <w:bookmarkStart w:id="57" w:name="_Toc503170527"/>
      <w:bookmarkStart w:id="58" w:name="_Toc503290246"/>
      <w:bookmarkStart w:id="59" w:name="_Toc504579910"/>
      <w:r>
        <w:t>Table of Contents</w:t>
      </w:r>
      <w:bookmarkStart w:id="60" w:name="_Toc477006908"/>
      <w:bookmarkStart w:id="61" w:name="_Toc477006968"/>
      <w:bookmarkStart w:id="62" w:name="_Toc477159606"/>
      <w:bookmarkStart w:id="63" w:name="_Ref498240398"/>
      <w:bookmarkStart w:id="64" w:name="_Ref498240410"/>
      <w:bookmarkEnd w:id="53"/>
      <w:bookmarkEnd w:id="54"/>
      <w:bookmarkEnd w:id="55"/>
      <w:bookmarkEnd w:id="56"/>
      <w:bookmarkEnd w:id="57"/>
      <w:bookmarkEnd w:id="58"/>
      <w:bookmarkEnd w:id="59"/>
      <w:r>
        <w:fldChar w:fldCharType="begin"/>
      </w:r>
      <w:r>
        <w:instrText xml:space="preserve"> TOC \o "1-3" \h \z \u </w:instrText>
      </w:r>
      <w:r>
        <w:fldChar w:fldCharType="separate"/>
      </w:r>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1" w:history="1">
        <w:r w:rsidR="00FC6CED" w:rsidRPr="002135A0">
          <w:rPr>
            <w:rStyle w:val="Hyperlink"/>
          </w:rPr>
          <w:t>What is mathematics</w:t>
        </w:r>
        <w:r w:rsidR="00FC6CED">
          <w:rPr>
            <w:webHidden/>
          </w:rPr>
          <w:tab/>
        </w:r>
        <w:r w:rsidR="00FC6CED">
          <w:rPr>
            <w:webHidden/>
          </w:rPr>
          <w:fldChar w:fldCharType="begin"/>
        </w:r>
        <w:r w:rsidR="00FC6CED">
          <w:rPr>
            <w:webHidden/>
          </w:rPr>
          <w:instrText xml:space="preserve"> PAGEREF _Toc504579911 \h </w:instrText>
        </w:r>
        <w:r w:rsidR="00FC6CED">
          <w:rPr>
            <w:webHidden/>
          </w:rPr>
        </w:r>
        <w:r w:rsidR="00FC6CED">
          <w:rPr>
            <w:webHidden/>
          </w:rPr>
          <w:fldChar w:fldCharType="separate"/>
        </w:r>
        <w:r w:rsidR="00D10211">
          <w:rPr>
            <w:webHidden/>
          </w:rPr>
          <w:t>4</w:t>
        </w:r>
        <w:r w:rsidR="00FC6CED">
          <w:rPr>
            <w:webHidden/>
          </w:rPr>
          <w:fldChar w:fldCharType="end"/>
        </w:r>
      </w:hyperlink>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2" w:history="1">
        <w:r w:rsidR="00FC6CED" w:rsidRPr="002135A0">
          <w:rPr>
            <w:rStyle w:val="Hyperlink"/>
          </w:rPr>
          <w:t>Uses of mathematics in legislation</w:t>
        </w:r>
        <w:r w:rsidR="00FC6CED">
          <w:rPr>
            <w:webHidden/>
          </w:rPr>
          <w:tab/>
        </w:r>
        <w:r w:rsidR="00FC6CED">
          <w:rPr>
            <w:webHidden/>
          </w:rPr>
          <w:fldChar w:fldCharType="begin"/>
        </w:r>
        <w:r w:rsidR="00FC6CED">
          <w:rPr>
            <w:webHidden/>
          </w:rPr>
          <w:instrText xml:space="preserve"> PAGEREF _Toc504579912 \h </w:instrText>
        </w:r>
        <w:r w:rsidR="00FC6CED">
          <w:rPr>
            <w:webHidden/>
          </w:rPr>
        </w:r>
        <w:r w:rsidR="00FC6CED">
          <w:rPr>
            <w:webHidden/>
          </w:rPr>
          <w:fldChar w:fldCharType="separate"/>
        </w:r>
        <w:r w:rsidR="00D10211">
          <w:rPr>
            <w:webHidden/>
          </w:rPr>
          <w:t>5</w:t>
        </w:r>
        <w:r w:rsidR="00FC6CED">
          <w:rPr>
            <w:webHidden/>
          </w:rPr>
          <w:fldChar w:fldCharType="end"/>
        </w:r>
      </w:hyperlink>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3" w:history="1">
        <w:r w:rsidR="00FC6CED" w:rsidRPr="002135A0">
          <w:rPr>
            <w:rStyle w:val="Hyperlink"/>
          </w:rPr>
          <w:t>Legislative expression of calculations</w:t>
        </w:r>
        <w:r w:rsidR="00FC6CED">
          <w:rPr>
            <w:webHidden/>
          </w:rPr>
          <w:tab/>
        </w:r>
        <w:r w:rsidR="00FC6CED">
          <w:rPr>
            <w:webHidden/>
          </w:rPr>
          <w:fldChar w:fldCharType="begin"/>
        </w:r>
        <w:r w:rsidR="00FC6CED">
          <w:rPr>
            <w:webHidden/>
          </w:rPr>
          <w:instrText xml:space="preserve"> PAGEREF _Toc504579913 \h </w:instrText>
        </w:r>
        <w:r w:rsidR="00FC6CED">
          <w:rPr>
            <w:webHidden/>
          </w:rPr>
        </w:r>
        <w:r w:rsidR="00FC6CED">
          <w:rPr>
            <w:webHidden/>
          </w:rPr>
          <w:fldChar w:fldCharType="separate"/>
        </w:r>
        <w:r w:rsidR="00D10211">
          <w:rPr>
            <w:webHidden/>
          </w:rPr>
          <w:t>5</w:t>
        </w:r>
        <w:r w:rsidR="00FC6CED">
          <w:rPr>
            <w:webHidden/>
          </w:rPr>
          <w:fldChar w:fldCharType="end"/>
        </w:r>
      </w:hyperlink>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4" w:history="1">
        <w:r w:rsidR="00FC6CED" w:rsidRPr="002135A0">
          <w:rPr>
            <w:rStyle w:val="Hyperlink"/>
          </w:rPr>
          <w:t>Things to consider when dealing with calculations</w:t>
        </w:r>
        <w:r w:rsidR="00FC6CED">
          <w:rPr>
            <w:webHidden/>
          </w:rPr>
          <w:tab/>
        </w:r>
        <w:r w:rsidR="00FC6CED">
          <w:rPr>
            <w:webHidden/>
          </w:rPr>
          <w:fldChar w:fldCharType="begin"/>
        </w:r>
        <w:r w:rsidR="00FC6CED">
          <w:rPr>
            <w:webHidden/>
          </w:rPr>
          <w:instrText xml:space="preserve"> PAGEREF _Toc504579914 \h </w:instrText>
        </w:r>
        <w:r w:rsidR="00FC6CED">
          <w:rPr>
            <w:webHidden/>
          </w:rPr>
        </w:r>
        <w:r w:rsidR="00FC6CED">
          <w:rPr>
            <w:webHidden/>
          </w:rPr>
          <w:fldChar w:fldCharType="separate"/>
        </w:r>
        <w:r w:rsidR="00D10211">
          <w:rPr>
            <w:webHidden/>
          </w:rPr>
          <w:t>12</w:t>
        </w:r>
        <w:r w:rsidR="00FC6CED">
          <w:rPr>
            <w:webHidden/>
          </w:rPr>
          <w:fldChar w:fldCharType="end"/>
        </w:r>
      </w:hyperlink>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5" w:history="1">
        <w:r w:rsidR="00FC6CED" w:rsidRPr="002135A0">
          <w:rPr>
            <w:rStyle w:val="Hyperlink"/>
          </w:rPr>
          <w:t>How to use formulae</w:t>
        </w:r>
        <w:r w:rsidR="00FC6CED">
          <w:rPr>
            <w:webHidden/>
          </w:rPr>
          <w:tab/>
        </w:r>
        <w:r w:rsidR="00FC6CED">
          <w:rPr>
            <w:webHidden/>
          </w:rPr>
          <w:fldChar w:fldCharType="begin"/>
        </w:r>
        <w:r w:rsidR="00FC6CED">
          <w:rPr>
            <w:webHidden/>
          </w:rPr>
          <w:instrText xml:space="preserve"> PAGEREF _Toc504579915 \h </w:instrText>
        </w:r>
        <w:r w:rsidR="00FC6CED">
          <w:rPr>
            <w:webHidden/>
          </w:rPr>
        </w:r>
        <w:r w:rsidR="00FC6CED">
          <w:rPr>
            <w:webHidden/>
          </w:rPr>
          <w:fldChar w:fldCharType="separate"/>
        </w:r>
        <w:r w:rsidR="00D10211">
          <w:rPr>
            <w:webHidden/>
          </w:rPr>
          <w:t>20</w:t>
        </w:r>
        <w:r w:rsidR="00FC6CED">
          <w:rPr>
            <w:webHidden/>
          </w:rPr>
          <w:fldChar w:fldCharType="end"/>
        </w:r>
      </w:hyperlink>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6" w:history="1">
        <w:r w:rsidR="00FC6CED" w:rsidRPr="002135A0">
          <w:rPr>
            <w:rStyle w:val="Hyperlink"/>
          </w:rPr>
          <w:t>The formula, the whole formula and nothing but the formula</w:t>
        </w:r>
        <w:r w:rsidR="00FC6CED">
          <w:rPr>
            <w:webHidden/>
          </w:rPr>
          <w:tab/>
        </w:r>
        <w:r w:rsidR="00FC6CED">
          <w:rPr>
            <w:webHidden/>
          </w:rPr>
          <w:fldChar w:fldCharType="begin"/>
        </w:r>
        <w:r w:rsidR="00FC6CED">
          <w:rPr>
            <w:webHidden/>
          </w:rPr>
          <w:instrText xml:space="preserve"> PAGEREF _Toc504579916 \h </w:instrText>
        </w:r>
        <w:r w:rsidR="00FC6CED">
          <w:rPr>
            <w:webHidden/>
          </w:rPr>
        </w:r>
        <w:r w:rsidR="00FC6CED">
          <w:rPr>
            <w:webHidden/>
          </w:rPr>
          <w:fldChar w:fldCharType="separate"/>
        </w:r>
        <w:r w:rsidR="00D10211">
          <w:rPr>
            <w:webHidden/>
          </w:rPr>
          <w:t>30</w:t>
        </w:r>
        <w:r w:rsidR="00FC6CED">
          <w:rPr>
            <w:webHidden/>
          </w:rPr>
          <w:fldChar w:fldCharType="end"/>
        </w:r>
      </w:hyperlink>
    </w:p>
    <w:p w:rsidR="00FC6CED"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4579917" w:history="1">
        <w:r w:rsidR="00FC6CED" w:rsidRPr="002135A0">
          <w:rPr>
            <w:rStyle w:val="Hyperlink"/>
          </w:rPr>
          <w:t>Conclusion</w:t>
        </w:r>
        <w:r w:rsidR="00FC6CED">
          <w:rPr>
            <w:webHidden/>
          </w:rPr>
          <w:tab/>
        </w:r>
        <w:r w:rsidR="00FC6CED">
          <w:rPr>
            <w:webHidden/>
          </w:rPr>
          <w:fldChar w:fldCharType="begin"/>
        </w:r>
        <w:r w:rsidR="00FC6CED">
          <w:rPr>
            <w:webHidden/>
          </w:rPr>
          <w:instrText xml:space="preserve"> PAGEREF _Toc504579917 \h </w:instrText>
        </w:r>
        <w:r w:rsidR="00FC6CED">
          <w:rPr>
            <w:webHidden/>
          </w:rPr>
        </w:r>
        <w:r w:rsidR="00FC6CED">
          <w:rPr>
            <w:webHidden/>
          </w:rPr>
          <w:fldChar w:fldCharType="separate"/>
        </w:r>
        <w:r w:rsidR="00D10211">
          <w:rPr>
            <w:webHidden/>
          </w:rPr>
          <w:t>52</w:t>
        </w:r>
        <w:r w:rsidR="00FC6CED">
          <w:rPr>
            <w:webHidden/>
          </w:rPr>
          <w:fldChar w:fldCharType="end"/>
        </w:r>
      </w:hyperlink>
    </w:p>
    <w:p w:rsidR="00EF4EC1" w:rsidRPr="00B87EC6" w:rsidRDefault="00EF4EC1" w:rsidP="00EF4EC1">
      <w:pPr>
        <w:pStyle w:val="Heading3"/>
      </w:pPr>
      <w:r>
        <w:fldChar w:fldCharType="end"/>
      </w:r>
      <w:bookmarkStart w:id="65" w:name="_Toc500060170"/>
      <w:bookmarkStart w:id="66" w:name="_Toc501713639"/>
      <w:bookmarkStart w:id="67" w:name="_Toc501713778"/>
      <w:bookmarkStart w:id="68" w:name="_Toc503170528"/>
      <w:bookmarkStart w:id="69" w:name="_Toc503290247"/>
      <w:bookmarkStart w:id="70" w:name="_Toc504579911"/>
      <w:r w:rsidRPr="00B87EC6">
        <w:t>What is mathematics</w:t>
      </w:r>
      <w:bookmarkEnd w:id="60"/>
      <w:bookmarkEnd w:id="61"/>
      <w:bookmarkEnd w:id="62"/>
      <w:bookmarkEnd w:id="63"/>
      <w:bookmarkEnd w:id="64"/>
      <w:bookmarkEnd w:id="65"/>
      <w:bookmarkEnd w:id="66"/>
      <w:bookmarkEnd w:id="67"/>
      <w:bookmarkEnd w:id="68"/>
      <w:bookmarkEnd w:id="69"/>
      <w:bookmarkEnd w:id="70"/>
    </w:p>
    <w:p w:rsidR="00EF4EC1" w:rsidRPr="00B87EC6" w:rsidRDefault="00EF4EC1" w:rsidP="00EF4EC1">
      <w:pPr>
        <w:pStyle w:val="Normaltext1"/>
        <w:rPr>
          <w:lang w:val="en"/>
        </w:rPr>
      </w:pPr>
      <w:r w:rsidRPr="00B87EC6">
        <w:t>Mathematics is the study of number, quantity, shape</w:t>
      </w:r>
      <w:r>
        <w:t xml:space="preserve"> and</w:t>
      </w:r>
      <w:r w:rsidRPr="00B87EC6">
        <w:t xml:space="preserve"> space and their interrelationships. It can be broadly divided into four basic disciplines: </w:t>
      </w:r>
      <w:r w:rsidRPr="00B87EC6">
        <w:rPr>
          <w:lang w:val="en"/>
        </w:rPr>
        <w:t>arithmetic, algebra, geometry</w:t>
      </w:r>
      <w:r>
        <w:rPr>
          <w:lang w:val="en"/>
        </w:rPr>
        <w:t xml:space="preserve"> and</w:t>
      </w:r>
      <w:r w:rsidRPr="00B87EC6">
        <w:rPr>
          <w:lang w:val="en"/>
        </w:rPr>
        <w:t xml:space="preserve"> calculus. Mathematics first arose out of the need to do calculations relating to commerce. It was then applied to the wider physical world, allowing for the development of scientific disciplines such as physics, chemistry and astronomy, which in turn led to the further development of mathematics, and in turn further developments in other sciences. </w:t>
      </w:r>
      <w:r w:rsidRPr="00B87EC6">
        <w:rPr>
          <w:lang w:val="en"/>
        </w:rPr>
        <w:lastRenderedPageBreak/>
        <w:t>Mathematics is now used in all fields of science and, in fact, in almost all aspects of everyday life.</w:t>
      </w:r>
    </w:p>
    <w:p w:rsidR="00EF4EC1" w:rsidRPr="00C87EB4" w:rsidRDefault="00EF4EC1" w:rsidP="00EF4EC1">
      <w:pPr>
        <w:pStyle w:val="Heading3"/>
      </w:pPr>
      <w:bookmarkStart w:id="71" w:name="_Toc477006909"/>
      <w:bookmarkStart w:id="72" w:name="_Toc477006969"/>
      <w:bookmarkStart w:id="73" w:name="_Toc477159607"/>
      <w:bookmarkStart w:id="74" w:name="_Toc500060171"/>
      <w:bookmarkStart w:id="75" w:name="_Toc501713640"/>
      <w:bookmarkStart w:id="76" w:name="_Toc501713779"/>
      <w:bookmarkStart w:id="77" w:name="_Toc503170529"/>
      <w:bookmarkStart w:id="78" w:name="_Toc503290248"/>
      <w:bookmarkStart w:id="79" w:name="_Toc504579912"/>
      <w:r w:rsidRPr="00C87EB4">
        <w:t>Uses of mathematics in legislation</w:t>
      </w:r>
      <w:bookmarkEnd w:id="71"/>
      <w:bookmarkEnd w:id="72"/>
      <w:bookmarkEnd w:id="73"/>
      <w:bookmarkEnd w:id="74"/>
      <w:bookmarkEnd w:id="75"/>
      <w:bookmarkEnd w:id="76"/>
      <w:bookmarkEnd w:id="77"/>
      <w:bookmarkEnd w:id="78"/>
      <w:bookmarkEnd w:id="79"/>
    </w:p>
    <w:p w:rsidR="00EF4EC1" w:rsidRPr="00B87EC6" w:rsidRDefault="00EF4EC1" w:rsidP="00EF4EC1">
      <w:pPr>
        <w:pStyle w:val="Normaltext1"/>
      </w:pPr>
      <w:r w:rsidRPr="00B87EC6">
        <w:t>The use of mathematics in legislation began with legislation governing commerce and, not surprisingly, laws imposing taxation. Most mathematics in legislation is still directed at calculating monetary amounts. For example:</w:t>
      </w:r>
    </w:p>
    <w:p w:rsidR="00EF4EC1" w:rsidRPr="00B87EC6" w:rsidRDefault="00EF4EC1" w:rsidP="00EF4EC1">
      <w:pPr>
        <w:pStyle w:val="Bullet1"/>
      </w:pPr>
      <w:r w:rsidRPr="00B87EC6">
        <w:t>calculating taxes, fees, charges, penalties</w:t>
      </w:r>
    </w:p>
    <w:p w:rsidR="00EF4EC1" w:rsidRPr="00B87EC6" w:rsidRDefault="00EF4EC1" w:rsidP="00EF4EC1">
      <w:pPr>
        <w:pStyle w:val="Bullet1"/>
      </w:pPr>
      <w:r w:rsidRPr="00B87EC6">
        <w:t>calculating the amount of payments (</w:t>
      </w:r>
      <w:r>
        <w:t>for example,</w:t>
      </w:r>
      <w:r w:rsidRPr="00B87EC6">
        <w:t> social security payments, superannuation benefits)</w:t>
      </w:r>
    </w:p>
    <w:p w:rsidR="00EF4EC1" w:rsidRPr="00B87EC6" w:rsidRDefault="00EF4EC1" w:rsidP="00EF4EC1">
      <w:pPr>
        <w:pStyle w:val="Bullet1"/>
      </w:pPr>
      <w:r w:rsidRPr="00B87EC6">
        <w:t>calculating the value of things</w:t>
      </w:r>
    </w:p>
    <w:p w:rsidR="00EF4EC1" w:rsidRPr="00B87EC6" w:rsidRDefault="00EF4EC1" w:rsidP="00EF4EC1">
      <w:pPr>
        <w:pStyle w:val="Bullet1"/>
      </w:pPr>
      <w:r w:rsidRPr="00B87EC6">
        <w:t>calculating discounts and rebates</w:t>
      </w:r>
    </w:p>
    <w:p w:rsidR="00EF4EC1" w:rsidRPr="00B87EC6" w:rsidRDefault="00EF4EC1" w:rsidP="00EF4EC1">
      <w:pPr>
        <w:pStyle w:val="Bullet1"/>
      </w:pPr>
      <w:r w:rsidRPr="00B87EC6">
        <w:t>providing for interest to accrue</w:t>
      </w:r>
    </w:p>
    <w:p w:rsidR="00EF4EC1" w:rsidRPr="00B87EC6" w:rsidRDefault="00EF4EC1" w:rsidP="00EF4EC1">
      <w:pPr>
        <w:pStyle w:val="Bullet1"/>
      </w:pPr>
      <w:r w:rsidRPr="00B87EC6">
        <w:t>indexation</w:t>
      </w:r>
    </w:p>
    <w:p w:rsidR="00EF4EC1" w:rsidRPr="00B87EC6" w:rsidRDefault="00EF4EC1" w:rsidP="00EF4EC1">
      <w:pPr>
        <w:pStyle w:val="Bullet1"/>
      </w:pPr>
      <w:r w:rsidRPr="00B87EC6">
        <w:t>pro rating amounts</w:t>
      </w:r>
    </w:p>
    <w:p w:rsidR="00EF4EC1" w:rsidRPr="00B87EC6" w:rsidRDefault="00EF4EC1" w:rsidP="00EF4EC1">
      <w:pPr>
        <w:pStyle w:val="Bullet1"/>
      </w:pPr>
      <w:r w:rsidRPr="00B87EC6">
        <w:t>determining comparative proportions</w:t>
      </w:r>
    </w:p>
    <w:p w:rsidR="00EF4EC1" w:rsidRPr="00B87EC6" w:rsidRDefault="00EF4EC1" w:rsidP="00EF4EC1">
      <w:pPr>
        <w:pStyle w:val="Bullet1"/>
      </w:pPr>
      <w:r w:rsidRPr="00B87EC6">
        <w:t>dividing amounts (</w:t>
      </w:r>
      <w:r>
        <w:t>for example,</w:t>
      </w:r>
      <w:r w:rsidRPr="00B87EC6">
        <w:t> distribution of deceased estates, division of property on dissolution of marriage).</w:t>
      </w:r>
    </w:p>
    <w:p w:rsidR="00EF4EC1" w:rsidRPr="00B87EC6" w:rsidRDefault="00EF4EC1" w:rsidP="00EF4EC1">
      <w:pPr>
        <w:pStyle w:val="Normaltext1"/>
      </w:pPr>
      <w:r w:rsidRPr="00B87EC6">
        <w:t>However, other fields of activity are now increasingly regulated in ways that involve the application of mathematical concepts. Legislation in these fields, especially subsidiary legislation, often needs to incorporate mathematical and scientific calculations that are more complex than those involved when dealing with money. For example:</w:t>
      </w:r>
    </w:p>
    <w:p w:rsidR="00EF4EC1" w:rsidRPr="00B87EC6" w:rsidRDefault="00EF4EC1" w:rsidP="00EF4EC1">
      <w:pPr>
        <w:pStyle w:val="Bullet1"/>
      </w:pPr>
      <w:r w:rsidRPr="00B87EC6">
        <w:t>environmental protection and pollution control</w:t>
      </w:r>
    </w:p>
    <w:p w:rsidR="00EF4EC1" w:rsidRPr="00B87EC6" w:rsidRDefault="00EF4EC1" w:rsidP="00EF4EC1">
      <w:pPr>
        <w:pStyle w:val="Bullet1"/>
      </w:pPr>
      <w:r w:rsidRPr="00B87EC6">
        <w:t xml:space="preserve">climate change, emissions trading schemes, </w:t>
      </w:r>
      <w:r>
        <w:t>etc.</w:t>
      </w:r>
    </w:p>
    <w:p w:rsidR="00EF4EC1" w:rsidRPr="00B87EC6" w:rsidRDefault="00EF4EC1" w:rsidP="00EF4EC1">
      <w:pPr>
        <w:pStyle w:val="Bullet1"/>
      </w:pPr>
      <w:r w:rsidRPr="00B87EC6">
        <w:t>power generation and distribution</w:t>
      </w:r>
    </w:p>
    <w:p w:rsidR="00EF4EC1" w:rsidRPr="00B87EC6" w:rsidRDefault="00EF4EC1" w:rsidP="00EF4EC1">
      <w:pPr>
        <w:pStyle w:val="Bullet1"/>
      </w:pPr>
      <w:r w:rsidRPr="00B87EC6">
        <w:t>radiation safety</w:t>
      </w:r>
    </w:p>
    <w:p w:rsidR="00EF4EC1" w:rsidRPr="00B87EC6" w:rsidRDefault="00EF4EC1" w:rsidP="00EF4EC1">
      <w:pPr>
        <w:pStyle w:val="Bullet1"/>
      </w:pPr>
      <w:r w:rsidRPr="00B87EC6">
        <w:t>agricultural chemical controls.</w:t>
      </w:r>
    </w:p>
    <w:p w:rsidR="00EF4EC1" w:rsidRPr="00B87EC6" w:rsidRDefault="00EF4EC1" w:rsidP="00EF4EC1">
      <w:pPr>
        <w:pStyle w:val="Normaltext1"/>
      </w:pPr>
      <w:r w:rsidRPr="00B87EC6">
        <w:t xml:space="preserve">As legislative policy becomes ever more complex, the amount of legislation that needs to incorporate mathematical calculations is increasing, and the mathematics involved is becoming increasingly complex. The question for </w:t>
      </w:r>
      <w:r>
        <w:t>legislative counsel</w:t>
      </w:r>
      <w:r w:rsidRPr="00B87EC6">
        <w:t xml:space="preserve"> is how to deal with it.</w:t>
      </w:r>
    </w:p>
    <w:p w:rsidR="00EF4EC1" w:rsidRPr="00C87EB4" w:rsidRDefault="00EF4EC1" w:rsidP="00EF4EC1">
      <w:pPr>
        <w:pStyle w:val="Heading3"/>
      </w:pPr>
      <w:bookmarkStart w:id="80" w:name="_Toc477006910"/>
      <w:bookmarkStart w:id="81" w:name="_Toc477006970"/>
      <w:bookmarkStart w:id="82" w:name="_Toc477159608"/>
      <w:bookmarkStart w:id="83" w:name="_Toc500060172"/>
      <w:bookmarkStart w:id="84" w:name="_Toc501713641"/>
      <w:bookmarkStart w:id="85" w:name="_Toc501713780"/>
      <w:bookmarkStart w:id="86" w:name="_Toc503170530"/>
      <w:bookmarkStart w:id="87" w:name="_Toc503290249"/>
      <w:bookmarkStart w:id="88" w:name="_Toc504579913"/>
      <w:r w:rsidRPr="00C87EB4">
        <w:t>Legislative expression of calculations</w:t>
      </w:r>
      <w:bookmarkEnd w:id="80"/>
      <w:bookmarkEnd w:id="81"/>
      <w:bookmarkEnd w:id="82"/>
      <w:bookmarkEnd w:id="83"/>
      <w:bookmarkEnd w:id="84"/>
      <w:bookmarkEnd w:id="85"/>
      <w:bookmarkEnd w:id="86"/>
      <w:bookmarkEnd w:id="87"/>
      <w:bookmarkEnd w:id="88"/>
    </w:p>
    <w:p w:rsidR="00EF4EC1" w:rsidRPr="00B87EC6" w:rsidRDefault="00EF4EC1" w:rsidP="00EF4EC1">
      <w:pPr>
        <w:pStyle w:val="Normaltext1"/>
      </w:pPr>
      <w:r w:rsidRPr="00B87EC6">
        <w:t>I first looked into the question of the use of numbers in legislation when I was working in Western Australia. There, until about 1980, legislation was written almost entirely in words. Numerals were used for section numbers but only rarely for anything else. Any mathematical calculations were almost always expressed in words. It was not until the beginning of the plain language movement that numerals were adopted for general use. More recent advances in technology have allowed greater scope for the use of formulae and other non</w:t>
      </w:r>
      <w:r>
        <w:noBreakHyphen/>
      </w:r>
      <w:r w:rsidRPr="00B87EC6">
        <w:t>sentence structures in legislation.</w:t>
      </w:r>
    </w:p>
    <w:p w:rsidR="00EF4EC1" w:rsidRPr="00B87EC6" w:rsidRDefault="00EF4EC1" w:rsidP="00EF4EC1">
      <w:pPr>
        <w:pStyle w:val="Normaltext1"/>
      </w:pPr>
      <w:r w:rsidRPr="00B87EC6">
        <w:lastRenderedPageBreak/>
        <w:t>Other jurisdictions seem to have followed a similar path, some more quickly than others.</w:t>
      </w:r>
    </w:p>
    <w:p w:rsidR="00EF4EC1" w:rsidRPr="00B87EC6" w:rsidRDefault="00EF4EC1" w:rsidP="00EF4EC1">
      <w:pPr>
        <w:pStyle w:val="Normaltext1"/>
      </w:pPr>
      <w:r w:rsidRPr="00B87EC6">
        <w:t>The basic objective of using plain language in drafting is to enhance the clarity, precision</w:t>
      </w:r>
      <w:r>
        <w:t xml:space="preserve"> and</w:t>
      </w:r>
      <w:r w:rsidRPr="00B87EC6">
        <w:t xml:space="preserve"> usability of legislation. For most of us, most of the time, plain language means plain English (or Māori,</w:t>
      </w:r>
      <w:r>
        <w:t xml:space="preserve"> or French, etc.</w:t>
      </w:r>
      <w:r w:rsidRPr="00B87EC6">
        <w:t xml:space="preserve"> – but in any event, plain words). But when it comes to expressing mathematical concepts, I would like to suggest that plain English – or plain words – may not be the appropriate language.</w:t>
      </w:r>
    </w:p>
    <w:p w:rsidR="00EF4EC1" w:rsidRPr="00B23994" w:rsidRDefault="00EF4EC1" w:rsidP="00EF4EC1">
      <w:pPr>
        <w:pStyle w:val="Normaltext1"/>
      </w:pPr>
      <w:r w:rsidRPr="00B87EC6">
        <w:t>Mathematical notation is a writing system for recording mathematical concepts. It was developed precisely because ordinary language (words and sentences) was inadequate to express anything beyond very simple mathematical concepts. Even relatively simple mathematical concepts can be difficult to express in words. The more complex the concepts, the more inadequate words are for expressing them.</w:t>
      </w:r>
    </w:p>
    <w:p w:rsidR="00EF4EC1" w:rsidRPr="00B87EC6" w:rsidRDefault="00EF4EC1" w:rsidP="00EF4EC1">
      <w:pPr>
        <w:pStyle w:val="Normaltext1"/>
      </w:pPr>
      <w:r>
        <w:t>As legislative counsel, we</w:t>
      </w:r>
      <w:r w:rsidRPr="00B87EC6">
        <w:t xml:space="preserve"> are responsible for ensuring the clarity, precision</w:t>
      </w:r>
      <w:r>
        <w:t xml:space="preserve"> and</w:t>
      </w:r>
      <w:r w:rsidRPr="00B87EC6">
        <w:t xml:space="preserve"> usability of the legislation </w:t>
      </w:r>
      <w:r>
        <w:t>we</w:t>
      </w:r>
      <w:r w:rsidRPr="00B87EC6">
        <w:t xml:space="preserve"> draft. I would therefore suggest that, when faced with the need to incorporate a mathematical concept into the law, </w:t>
      </w:r>
      <w:r>
        <w:t xml:space="preserve">we </w:t>
      </w:r>
      <w:r w:rsidRPr="00B87EC6">
        <w:t xml:space="preserve">have a professional obligation to consider whether the use of </w:t>
      </w:r>
      <w:r>
        <w:t xml:space="preserve">a </w:t>
      </w:r>
      <w:r w:rsidRPr="00B87EC6">
        <w:t>formula m</w:t>
      </w:r>
      <w:r>
        <w:t xml:space="preserve">ight </w:t>
      </w:r>
      <w:r w:rsidRPr="00B87EC6">
        <w:t>be the best approach.</w:t>
      </w:r>
    </w:p>
    <w:p w:rsidR="00EF4EC1" w:rsidRPr="00B87EC6" w:rsidRDefault="00EF4EC1" w:rsidP="00EF4EC1">
      <w:pPr>
        <w:pStyle w:val="Normaltext1"/>
      </w:pPr>
      <w:r w:rsidRPr="00B87EC6">
        <w:t>As with most aspects of drafting, there is no hard and fast rule about when a formula should, or should not, be used. The question is, what will produce the best results in terms of clarity, precision</w:t>
      </w:r>
      <w:r>
        <w:t xml:space="preserve"> and</w:t>
      </w:r>
      <w:r w:rsidRPr="00B87EC6">
        <w:t xml:space="preserve"> usability of the legislation?</w:t>
      </w:r>
    </w:p>
    <w:p w:rsidR="00EF4EC1" w:rsidRPr="00B87EC6" w:rsidRDefault="00EF4EC1" w:rsidP="00EF4EC1">
      <w:pPr>
        <w:pStyle w:val="Normaltext1"/>
      </w:pPr>
      <w:r w:rsidRPr="00B87EC6">
        <w:t xml:space="preserve">If the calculation is simple and can be written clearly and precisely in words, there may be no need to use a formula. For a </w:t>
      </w:r>
      <w:r w:rsidRPr="00D3401F">
        <w:t>calculation</w:t>
      </w:r>
      <w:r w:rsidRPr="00B87EC6">
        <w:t xml:space="preserve"> involving only one arithmetical operation, words may well be perfectly adequate.</w:t>
      </w:r>
    </w:p>
    <w:p w:rsidR="00EF4EC1" w:rsidRPr="00B87EC6" w:rsidRDefault="00EF4EC1" w:rsidP="00EF4EC1">
      <w:pPr>
        <w:pStyle w:val="Slidelabel"/>
        <w:keepNext w:val="0"/>
        <w:rPr>
          <w:szCs w:val="22"/>
        </w:rPr>
      </w:pPr>
      <w:r w:rsidRPr="00B87EC6">
        <w:rPr>
          <w:szCs w:val="22"/>
        </w:rPr>
        <w:t xml:space="preserve">Single arithmetical operation </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041731" w:rsidTr="00EF4EC1">
        <w:trPr>
          <w:cantSplit/>
        </w:trPr>
        <w:tc>
          <w:tcPr>
            <w:tcW w:w="8505" w:type="dxa"/>
            <w:shd w:val="clear" w:color="auto" w:fill="FFFFFF"/>
          </w:tcPr>
          <w:p w:rsidR="00EF4EC1" w:rsidRPr="00041731" w:rsidRDefault="00EF4EC1" w:rsidP="00EF4EC1">
            <w:pPr>
              <w:pStyle w:val="Slide1"/>
              <w:keepNext w:val="0"/>
              <w:rPr>
                <w:color w:val="0000FF"/>
              </w:rPr>
            </w:pPr>
            <w:r w:rsidRPr="00041731">
              <w:rPr>
                <w:color w:val="0000FF"/>
              </w:rPr>
              <w:t>13</w:t>
            </w:r>
            <w:r w:rsidRPr="00041731">
              <w:rPr>
                <w:color w:val="0000FF"/>
              </w:rPr>
              <w:tab/>
              <w:t>Assessing the value of unexplained wealth</w:t>
            </w:r>
          </w:p>
          <w:p w:rsidR="00EF4EC1" w:rsidRPr="00041731" w:rsidRDefault="00EF4EC1" w:rsidP="00EF4EC1">
            <w:pPr>
              <w:pStyle w:val="Slide2"/>
              <w:rPr>
                <w:color w:val="0000FF"/>
              </w:rPr>
            </w:pPr>
            <w:r w:rsidRPr="00041731">
              <w:rPr>
                <w:color w:val="0000FF"/>
              </w:rPr>
              <w:tab/>
              <w:t>The value of the respondent’s unexplained wealth is the amount equal to the difference between:</w:t>
            </w:r>
          </w:p>
          <w:p w:rsidR="00EF4EC1" w:rsidRPr="00041731" w:rsidRDefault="00EF4EC1" w:rsidP="00EF4EC1">
            <w:pPr>
              <w:pStyle w:val="Slide3"/>
              <w:tabs>
                <w:tab w:val="clear" w:pos="1021"/>
              </w:tabs>
              <w:rPr>
                <w:color w:val="0000FF"/>
              </w:rPr>
            </w:pPr>
            <w:r w:rsidRPr="00041731">
              <w:rPr>
                <w:color w:val="0000FF"/>
              </w:rPr>
              <w:t>(a)</w:t>
            </w:r>
            <w:r w:rsidRPr="00041731">
              <w:rPr>
                <w:color w:val="0000FF"/>
              </w:rPr>
              <w:tab/>
              <w:t>the total value of the respondent’s wealth; and</w:t>
            </w:r>
          </w:p>
          <w:p w:rsidR="00EF4EC1" w:rsidRPr="00041731" w:rsidRDefault="00EF4EC1" w:rsidP="00EF4EC1">
            <w:pPr>
              <w:pStyle w:val="Slide3"/>
              <w:tabs>
                <w:tab w:val="clear" w:pos="1021"/>
              </w:tabs>
              <w:rPr>
                <w:color w:val="0000FF"/>
              </w:rPr>
            </w:pPr>
            <w:r w:rsidRPr="00041731">
              <w:rPr>
                <w:color w:val="0000FF"/>
              </w:rPr>
              <w:t>(b)</w:t>
            </w:r>
            <w:r w:rsidRPr="00041731">
              <w:rPr>
                <w:color w:val="0000FF"/>
              </w:rPr>
              <w:tab/>
              <w:t>the value of the respondent’s lawfully acquired wealth.</w:t>
            </w:r>
          </w:p>
        </w:tc>
      </w:tr>
    </w:tbl>
    <w:p w:rsidR="00EF4EC1" w:rsidRDefault="00EF4EC1" w:rsidP="00EF4EC1">
      <w:pPr>
        <w:pStyle w:val="Normaltext1"/>
      </w:pPr>
      <w:r w:rsidRPr="00B87EC6">
        <w:t xml:space="preserve">However, even if the calculation is simple, if there is a possibility of it being misread, then a formula might be preferable. In example 2, from the word version it is possible to work out that the amount required to be paid is </w:t>
      </w:r>
    </w:p>
    <w:p w:rsidR="00EF4EC1" w:rsidRDefault="00EF4EC1" w:rsidP="00EF4EC1">
      <w:pPr>
        <w:pStyle w:val="Normaltext1"/>
        <w:rPr>
          <w:b/>
        </w:rPr>
      </w:pPr>
      <w:r w:rsidRPr="00B87EC6">
        <w:tab/>
        <w:t xml:space="preserve">(credit + interest + enforcement + termination) </w:t>
      </w:r>
      <w:r w:rsidRPr="00B87EC6">
        <w:rPr>
          <w:b/>
        </w:rPr>
        <w:t>– [</w:t>
      </w:r>
      <w:r w:rsidRPr="00B87EC6">
        <w:t xml:space="preserve">payments </w:t>
      </w:r>
      <w:r w:rsidRPr="00B87EC6">
        <w:rPr>
          <w:b/>
        </w:rPr>
        <w:t xml:space="preserve">+ </w:t>
      </w:r>
      <w:r w:rsidRPr="00B87EC6">
        <w:t>rebates</w:t>
      </w:r>
      <w:r w:rsidRPr="00B87EC6">
        <w:rPr>
          <w:b/>
        </w:rPr>
        <w:t>]</w:t>
      </w:r>
    </w:p>
    <w:p w:rsidR="00EF4EC1" w:rsidRDefault="00EF4EC1" w:rsidP="00EF4EC1">
      <w:pPr>
        <w:pStyle w:val="Normaltext1"/>
      </w:pPr>
      <w:r w:rsidRPr="00B87EC6">
        <w:t>but it could be misread as</w:t>
      </w:r>
    </w:p>
    <w:p w:rsidR="00EF4EC1" w:rsidRPr="00B87EC6" w:rsidRDefault="00EF4EC1" w:rsidP="00EF4EC1">
      <w:pPr>
        <w:pStyle w:val="Normaltext1"/>
      </w:pPr>
      <w:r w:rsidRPr="00B87EC6">
        <w:tab/>
        <w:t xml:space="preserve">(credit + interest + enforcement + termination) </w:t>
      </w:r>
      <w:r w:rsidRPr="00AD6910">
        <w:rPr>
          <w:b/>
        </w:rPr>
        <w:t>–</w:t>
      </w:r>
      <w:r w:rsidRPr="00AD6910">
        <w:t xml:space="preserve"> </w:t>
      </w:r>
      <w:r w:rsidRPr="00B87EC6">
        <w:t xml:space="preserve">payments </w:t>
      </w:r>
      <w:r w:rsidRPr="00AD6910">
        <w:rPr>
          <w:b/>
        </w:rPr>
        <w:t>+</w:t>
      </w:r>
      <w:r w:rsidRPr="00AD6910">
        <w:t xml:space="preserve"> </w:t>
      </w:r>
      <w:r w:rsidRPr="00B87EC6">
        <w:t>rebates.</w:t>
      </w:r>
    </w:p>
    <w:p w:rsidR="00EF4EC1" w:rsidRPr="00B87EC6" w:rsidRDefault="00EF4EC1" w:rsidP="00EF4EC1">
      <w:pPr>
        <w:pStyle w:val="Normaltext1"/>
      </w:pPr>
      <w:r w:rsidRPr="00B87EC6">
        <w:lastRenderedPageBreak/>
        <w:t>Paragraphing the amounts would no doubt improve readability, but a simple formula can remove any possibility of doubt.</w:t>
      </w:r>
    </w:p>
    <w:p w:rsidR="00EF4EC1" w:rsidRPr="00616683" w:rsidRDefault="00EF4EC1" w:rsidP="00EF4EC1">
      <w:pPr>
        <w:pStyle w:val="Slidelabel"/>
      </w:pPr>
      <w:bookmarkStart w:id="89" w:name="_Ref475606503"/>
      <w:r w:rsidRPr="00616683">
        <w:t>Simple calculation capable of being misread</w:t>
      </w:r>
      <w:bookmarkEnd w:id="89"/>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RPr="00041731" w:rsidTr="00EF4EC1">
        <w:tc>
          <w:tcPr>
            <w:tcW w:w="8504" w:type="dxa"/>
            <w:shd w:val="clear" w:color="auto" w:fill="FFFFFF"/>
          </w:tcPr>
          <w:p w:rsidR="00EF4EC1" w:rsidRPr="00041731" w:rsidRDefault="00EF4EC1" w:rsidP="00EF4EC1">
            <w:pPr>
              <w:pStyle w:val="Slide1"/>
              <w:keepNext w:val="0"/>
              <w:rPr>
                <w:color w:val="0000FF"/>
              </w:rPr>
            </w:pPr>
            <w:r w:rsidRPr="00041731">
              <w:rPr>
                <w:color w:val="0000FF"/>
              </w:rPr>
              <w:t>75</w:t>
            </w:r>
            <w:r w:rsidRPr="00041731">
              <w:rPr>
                <w:color w:val="0000FF"/>
              </w:rPr>
              <w:tab/>
              <w:t>Debtor’s right to pay out contract</w:t>
            </w:r>
          </w:p>
          <w:p w:rsidR="00EF4EC1" w:rsidRPr="00041731" w:rsidRDefault="00EF4EC1" w:rsidP="00EF4EC1">
            <w:pPr>
              <w:pStyle w:val="Slide2"/>
              <w:rPr>
                <w:color w:val="0000FF"/>
              </w:rPr>
            </w:pPr>
            <w:r w:rsidRPr="00041731">
              <w:rPr>
                <w:color w:val="0000FF"/>
              </w:rPr>
              <w:tab/>
              <w:t xml:space="preserve">The amount required to pay out a credit contract is the </w:t>
            </w:r>
            <w:r w:rsidRPr="00041731">
              <w:rPr>
                <w:bCs/>
                <w:color w:val="0000FF"/>
              </w:rPr>
              <w:t xml:space="preserve">total of </w:t>
            </w:r>
            <w:r w:rsidRPr="00041731">
              <w:rPr>
                <w:color w:val="0000FF"/>
              </w:rPr>
              <w:t xml:space="preserve">the amount of credit, the interest charges payable up to the date of termination, the reasonable enforcement expenses, and any early termination charges provided for in the contract </w:t>
            </w:r>
            <w:r w:rsidRPr="00041731">
              <w:rPr>
                <w:bCs/>
                <w:color w:val="0000FF"/>
              </w:rPr>
              <w:t>less</w:t>
            </w:r>
            <w:r w:rsidRPr="00041731">
              <w:rPr>
                <w:color w:val="0000FF"/>
              </w:rPr>
              <w:t xml:space="preserve"> any payments made under the contract </w:t>
            </w:r>
            <w:r w:rsidRPr="00041731">
              <w:rPr>
                <w:bCs/>
                <w:color w:val="0000FF"/>
              </w:rPr>
              <w:t>and</w:t>
            </w:r>
            <w:r w:rsidRPr="00041731">
              <w:rPr>
                <w:color w:val="0000FF"/>
              </w:rPr>
              <w:t xml:space="preserve"> any rebate of premium under section 138.</w:t>
            </w:r>
          </w:p>
        </w:tc>
      </w:tr>
      <w:tr w:rsidR="00EF4EC1" w:rsidRPr="00041731" w:rsidTr="00EF4EC1">
        <w:tc>
          <w:tcPr>
            <w:tcW w:w="8504" w:type="dxa"/>
            <w:shd w:val="clear" w:color="auto" w:fill="FFFFFF"/>
          </w:tcPr>
          <w:p w:rsidR="00EF4EC1" w:rsidRPr="00041731" w:rsidRDefault="00EF4EC1" w:rsidP="00EF4EC1">
            <w:pPr>
              <w:pStyle w:val="Slide2"/>
              <w:rPr>
                <w:i/>
                <w:color w:val="0000FF"/>
              </w:rPr>
            </w:pPr>
            <w:r w:rsidRPr="00041731">
              <w:rPr>
                <w:i/>
                <w:color w:val="0000FF"/>
              </w:rPr>
              <w:t>Rewritten as a formula:</w:t>
            </w:r>
          </w:p>
          <w:p w:rsidR="00EF4EC1" w:rsidRPr="00041731" w:rsidRDefault="00EF4EC1" w:rsidP="00EF4EC1">
            <w:pPr>
              <w:pStyle w:val="Slide1"/>
              <w:keepNext w:val="0"/>
              <w:rPr>
                <w:color w:val="0000FF"/>
              </w:rPr>
            </w:pPr>
            <w:r w:rsidRPr="00041731">
              <w:rPr>
                <w:color w:val="0000FF"/>
              </w:rPr>
              <w:t>75</w:t>
            </w:r>
            <w:r w:rsidRPr="00041731">
              <w:rPr>
                <w:color w:val="0000FF"/>
              </w:rPr>
              <w:tab/>
              <w:t>Debtor’s right to pay out contract</w:t>
            </w:r>
          </w:p>
          <w:p w:rsidR="00EF4EC1" w:rsidRPr="00041731" w:rsidRDefault="00EF4EC1" w:rsidP="00EF4EC1">
            <w:pPr>
              <w:pStyle w:val="Slide2"/>
              <w:rPr>
                <w:color w:val="0000FF"/>
              </w:rPr>
            </w:pPr>
            <w:r w:rsidRPr="00041731">
              <w:rPr>
                <w:color w:val="0000FF"/>
              </w:rPr>
              <w:tab/>
              <w:t>The amount required to pay out a credit contract is to be calculated using the formula:</w:t>
            </w:r>
          </w:p>
          <w:p w:rsidR="00EF4EC1" w:rsidRPr="00041731" w:rsidRDefault="00EF4EC1" w:rsidP="00EF4EC1">
            <w:pPr>
              <w:pStyle w:val="SlideEquation"/>
              <w:rPr>
                <w:color w:val="0000FF"/>
                <w:oMath/>
              </w:rPr>
            </w:pPr>
            <m:oMathPara>
              <m:oMathParaPr>
                <m:jc m:val="left"/>
              </m:oMathParaPr>
              <m:oMath>
                <m:r>
                  <m:rPr>
                    <m:nor/>
                  </m:rPr>
                  <w:rPr>
                    <w:color w:val="0000FF"/>
                  </w:rPr>
                  <m:t>p</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a</m:t>
                    </m:r>
                    <m:r>
                      <m:rPr>
                        <m:nor/>
                      </m:rPr>
                      <w:rPr>
                        <w:rFonts w:ascii="Cambria Math"/>
                        <w:color w:val="0000FF"/>
                      </w:rPr>
                      <m:t xml:space="preserve"> </m:t>
                    </m:r>
                    <m:r>
                      <m:rPr>
                        <m:nor/>
                      </m:rPr>
                      <w:rPr>
                        <w:rFonts w:ascii="Cambria Math" w:hAnsi="Cambria Math"/>
                        <w:color w:val="0000FF"/>
                      </w:rPr>
                      <m:t xml:space="preserve">+ </m:t>
                    </m:r>
                    <m:r>
                      <m:rPr>
                        <m:nor/>
                      </m:rPr>
                      <w:rPr>
                        <w:color w:val="0000FF"/>
                      </w:rPr>
                      <m:t>b</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c</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d</m:t>
                    </m:r>
                  </m:e>
                </m:d>
                <m:r>
                  <w:rPr>
                    <w:rFonts w:ascii="Cambria Math" w:hAnsi="Cambria Math"/>
                    <w:color w:val="0000FF"/>
                  </w:rPr>
                  <m:t>-</m:t>
                </m:r>
                <m:d>
                  <m:dPr>
                    <m:ctrlPr>
                      <w:rPr>
                        <w:rFonts w:ascii="Cambria Math" w:hAnsi="Cambria Math"/>
                        <w:i/>
                        <w:color w:val="0000FF"/>
                      </w:rPr>
                    </m:ctrlPr>
                  </m:dPr>
                  <m:e>
                    <m:r>
                      <m:rPr>
                        <m:nor/>
                      </m:rPr>
                      <w:rPr>
                        <w:color w:val="0000FF"/>
                      </w:rPr>
                      <m:t>e</m:t>
                    </m:r>
                    <m:r>
                      <m:rPr>
                        <m:nor/>
                      </m:rPr>
                      <w:rPr>
                        <w:rFonts w:ascii="Cambria Math"/>
                        <w:color w:val="0000FF"/>
                      </w:rPr>
                      <m:t xml:space="preserve"> </m:t>
                    </m:r>
                    <m:r>
                      <m:rPr>
                        <m:nor/>
                      </m:rPr>
                      <w:rPr>
                        <w:rFonts w:ascii="Cambria Math" w:hAnsi="Cambria Math"/>
                        <w:color w:val="0000FF"/>
                      </w:rPr>
                      <m:t xml:space="preserve">+ </m:t>
                    </m:r>
                    <m:r>
                      <m:rPr>
                        <m:nor/>
                      </m:rPr>
                      <w:rPr>
                        <w:color w:val="0000FF"/>
                      </w:rPr>
                      <m:t>f</m:t>
                    </m:r>
                  </m:e>
                </m:d>
              </m:oMath>
            </m:oMathPara>
          </w:p>
          <w:p w:rsidR="00EF4EC1" w:rsidRPr="00041731" w:rsidRDefault="00EF4EC1" w:rsidP="00EF4EC1">
            <w:pPr>
              <w:pStyle w:val="Slide3"/>
              <w:rPr>
                <w:color w:val="0000FF"/>
              </w:rPr>
            </w:pPr>
            <w:r w:rsidRPr="00041731">
              <w:rPr>
                <w:color w:val="0000FF"/>
              </w:rPr>
              <w:t>where:</w:t>
            </w:r>
          </w:p>
          <w:p w:rsidR="00EF4EC1" w:rsidRPr="00041731" w:rsidRDefault="00EF4EC1" w:rsidP="00EF4EC1">
            <w:pPr>
              <w:pStyle w:val="Slide3"/>
              <w:rPr>
                <w:color w:val="0000FF"/>
              </w:rPr>
            </w:pPr>
            <w:r w:rsidRPr="00041731">
              <w:rPr>
                <w:color w:val="0000FF"/>
              </w:rPr>
              <w:t>p</w:t>
            </w:r>
            <w:r w:rsidRPr="00041731">
              <w:rPr>
                <w:color w:val="0000FF"/>
              </w:rPr>
              <w:tab/>
              <w:t>=</w:t>
            </w:r>
            <w:r w:rsidRPr="00041731">
              <w:rPr>
                <w:color w:val="0000FF"/>
              </w:rPr>
              <w:tab/>
              <w:t>amount required to pay out the contract</w:t>
            </w:r>
          </w:p>
          <w:p w:rsidR="00EF4EC1" w:rsidRPr="00041731" w:rsidRDefault="00EF4EC1" w:rsidP="00EF4EC1">
            <w:pPr>
              <w:pStyle w:val="Slide3"/>
              <w:rPr>
                <w:color w:val="0000FF"/>
              </w:rPr>
            </w:pPr>
            <w:r w:rsidRPr="00041731">
              <w:rPr>
                <w:color w:val="0000FF"/>
              </w:rPr>
              <w:t>a</w:t>
            </w:r>
            <w:r w:rsidRPr="00041731">
              <w:rPr>
                <w:color w:val="0000FF"/>
              </w:rPr>
              <w:tab/>
              <w:t>=</w:t>
            </w:r>
            <w:r w:rsidRPr="00041731">
              <w:rPr>
                <w:color w:val="0000FF"/>
              </w:rPr>
              <w:tab/>
              <w:t>amount of credit</w:t>
            </w:r>
          </w:p>
          <w:p w:rsidR="00EF4EC1" w:rsidRPr="00041731" w:rsidRDefault="00EF4EC1" w:rsidP="00EF4EC1">
            <w:pPr>
              <w:pStyle w:val="Slide3"/>
              <w:rPr>
                <w:color w:val="0000FF"/>
              </w:rPr>
            </w:pPr>
            <w:r w:rsidRPr="00041731">
              <w:rPr>
                <w:color w:val="0000FF"/>
              </w:rPr>
              <w:t>b</w:t>
            </w:r>
            <w:r w:rsidRPr="00041731">
              <w:rPr>
                <w:color w:val="0000FF"/>
              </w:rPr>
              <w:tab/>
              <w:t>=</w:t>
            </w:r>
            <w:r w:rsidRPr="00041731">
              <w:rPr>
                <w:color w:val="0000FF"/>
              </w:rPr>
              <w:tab/>
              <w:t>interest charges payable up to the date of termination</w:t>
            </w:r>
          </w:p>
          <w:p w:rsidR="00EF4EC1" w:rsidRPr="00041731" w:rsidRDefault="00EF4EC1" w:rsidP="00EF4EC1">
            <w:pPr>
              <w:pStyle w:val="Slide3"/>
              <w:rPr>
                <w:color w:val="0000FF"/>
              </w:rPr>
            </w:pPr>
            <w:r w:rsidRPr="00041731">
              <w:rPr>
                <w:color w:val="0000FF"/>
              </w:rPr>
              <w:t>c</w:t>
            </w:r>
            <w:r w:rsidRPr="00041731">
              <w:rPr>
                <w:color w:val="0000FF"/>
              </w:rPr>
              <w:tab/>
              <w:t>=</w:t>
            </w:r>
            <w:r w:rsidRPr="00041731">
              <w:rPr>
                <w:color w:val="0000FF"/>
              </w:rPr>
              <w:tab/>
              <w:t>any reasonable enforcement expenses</w:t>
            </w:r>
          </w:p>
          <w:p w:rsidR="00EF4EC1" w:rsidRPr="00041731" w:rsidRDefault="00EF4EC1" w:rsidP="00EF4EC1">
            <w:pPr>
              <w:pStyle w:val="Slide3"/>
              <w:rPr>
                <w:color w:val="0000FF"/>
              </w:rPr>
            </w:pPr>
            <w:r w:rsidRPr="00041731">
              <w:rPr>
                <w:color w:val="0000FF"/>
              </w:rPr>
              <w:t>d</w:t>
            </w:r>
            <w:r w:rsidRPr="00041731">
              <w:rPr>
                <w:color w:val="0000FF"/>
              </w:rPr>
              <w:tab/>
              <w:t>=</w:t>
            </w:r>
            <w:r w:rsidRPr="00041731">
              <w:rPr>
                <w:color w:val="0000FF"/>
              </w:rPr>
              <w:tab/>
              <w:t>any early termination charges provided for in the contract</w:t>
            </w:r>
          </w:p>
          <w:p w:rsidR="00EF4EC1" w:rsidRPr="00041731" w:rsidRDefault="00EF4EC1" w:rsidP="00EF4EC1">
            <w:pPr>
              <w:pStyle w:val="Slide3"/>
              <w:keepNext/>
              <w:rPr>
                <w:color w:val="0000FF"/>
              </w:rPr>
            </w:pPr>
            <w:r w:rsidRPr="00041731">
              <w:rPr>
                <w:color w:val="0000FF"/>
              </w:rPr>
              <w:t>e</w:t>
            </w:r>
            <w:r w:rsidRPr="00041731">
              <w:rPr>
                <w:color w:val="0000FF"/>
              </w:rPr>
              <w:tab/>
              <w:t>=</w:t>
            </w:r>
            <w:r w:rsidRPr="00041731">
              <w:rPr>
                <w:color w:val="0000FF"/>
              </w:rPr>
              <w:tab/>
              <w:t>any payments made under the contract</w:t>
            </w:r>
          </w:p>
          <w:p w:rsidR="00EF4EC1" w:rsidRPr="00041731" w:rsidRDefault="00EF4EC1" w:rsidP="00EF4EC1">
            <w:pPr>
              <w:pStyle w:val="Slide3"/>
              <w:rPr>
                <w:color w:val="0000FF"/>
              </w:rPr>
            </w:pPr>
            <w:r w:rsidRPr="00041731">
              <w:rPr>
                <w:color w:val="0000FF"/>
              </w:rPr>
              <w:t>f</w:t>
            </w:r>
            <w:r w:rsidRPr="00041731">
              <w:rPr>
                <w:color w:val="0000FF"/>
              </w:rPr>
              <w:tab/>
              <w:t>=</w:t>
            </w:r>
            <w:r w:rsidRPr="00041731">
              <w:rPr>
                <w:color w:val="0000FF"/>
              </w:rPr>
              <w:tab/>
              <w:t>any rebate of premium under section 138.</w:t>
            </w:r>
          </w:p>
        </w:tc>
      </w:tr>
    </w:tbl>
    <w:p w:rsidR="00EF4EC1" w:rsidRDefault="00EF4EC1" w:rsidP="00EF4EC1">
      <w:pPr>
        <w:pStyle w:val="Normaltext1"/>
      </w:pPr>
      <w:r w:rsidRPr="00B87EC6">
        <w:t>Even if the maths involved in a calculation is simple, a formula might be preferable if the calculation is long. The calculation in example 3 only involves addition, subtraction</w:t>
      </w:r>
      <w:r>
        <w:t xml:space="preserve"> and</w:t>
      </w:r>
      <w:r w:rsidRPr="00B87EC6">
        <w:t xml:space="preserve"> multiplication, but it would take up many pages if it were written out in words.</w:t>
      </w:r>
    </w:p>
    <w:p w:rsidR="00EF4EC1" w:rsidRDefault="00EF4EC1">
      <w:pPr>
        <w:spacing w:before="0" w:after="0"/>
        <w:rPr>
          <w:rFonts w:eastAsia="Calibri"/>
          <w:color w:val="000000"/>
          <w:spacing w:val="-3"/>
          <w:szCs w:val="25"/>
          <w:lang w:val="en-CA"/>
        </w:rPr>
      </w:pPr>
      <w:r>
        <w:br w:type="page"/>
      </w:r>
    </w:p>
    <w:p w:rsidR="00EF4EC1" w:rsidRPr="00B87EC6" w:rsidRDefault="00EF4EC1" w:rsidP="00EF4EC1">
      <w:pPr>
        <w:pStyle w:val="Normaltext1"/>
      </w:pPr>
    </w:p>
    <w:p w:rsidR="00EF4EC1" w:rsidRPr="00616683" w:rsidRDefault="00EF4EC1" w:rsidP="00EF4EC1">
      <w:pPr>
        <w:pStyle w:val="Slidelabel"/>
      </w:pPr>
      <w:bookmarkStart w:id="90" w:name="_Ref475606828"/>
      <w:r w:rsidRPr="00616683">
        <w:t>Simple, but long, calculation</w:t>
      </w:r>
      <w:bookmarkEnd w:id="90"/>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Tr="00EF4EC1">
        <w:tc>
          <w:tcPr>
            <w:tcW w:w="8504" w:type="dxa"/>
            <w:shd w:val="clear" w:color="auto" w:fill="FFFFFF"/>
          </w:tcPr>
          <w:p w:rsidR="00EF4EC1" w:rsidRPr="00041731" w:rsidRDefault="00EF4EC1" w:rsidP="00EF4EC1">
            <w:pPr>
              <w:pStyle w:val="Slide1"/>
              <w:keepNext w:val="0"/>
              <w:rPr>
                <w:color w:val="0000FF"/>
              </w:rPr>
            </w:pPr>
            <w:r w:rsidRPr="00041731">
              <w:rPr>
                <w:color w:val="0000FF"/>
              </w:rPr>
              <w:t>25</w:t>
            </w:r>
            <w:r w:rsidRPr="00041731">
              <w:rPr>
                <w:color w:val="0000FF"/>
              </w:rPr>
              <w:tab/>
            </w:r>
            <w:r w:rsidRPr="00041731">
              <w:rPr>
                <w:bCs/>
                <w:color w:val="0000FF"/>
              </w:rPr>
              <w:t>Partial and permanent disablement</w:t>
            </w:r>
          </w:p>
          <w:p w:rsidR="00EF4EC1" w:rsidRPr="00041731" w:rsidRDefault="00EF4EC1" w:rsidP="00EF4EC1">
            <w:pPr>
              <w:pStyle w:val="Slide2"/>
              <w:rPr>
                <w:color w:val="0000FF"/>
              </w:rPr>
            </w:pPr>
            <w:r w:rsidRPr="00041731">
              <w:rPr>
                <w:color w:val="0000FF"/>
              </w:rPr>
              <w:tab/>
              <w:t>If a person who is or was at any time a Member becomes entitled to a benefit under regulation 41 the benefit is to be increased by adding to it an amount calculated in accordance with the formula:</w:t>
            </w:r>
          </w:p>
          <w:p w:rsidR="00EF4EC1" w:rsidRPr="00734F37" w:rsidRDefault="00EF4EC1" w:rsidP="00EF4EC1">
            <w:pPr>
              <w:pStyle w:val="SlideEquation"/>
              <w:rPr>
                <w:color w:val="0000FF"/>
                <w:szCs w:val="22"/>
                <w:oMath/>
              </w:rPr>
            </w:pPr>
            <m:oMathPara>
              <m:oMathParaPr>
                <m:jc m:val="left"/>
              </m:oMathParaPr>
              <m:oMath>
                <m:r>
                  <m:rPr>
                    <m:nor/>
                  </m:rPr>
                  <w:rPr>
                    <w:color w:val="0000FF"/>
                    <w:szCs w:val="22"/>
                  </w:rPr>
                  <m:t>b</m:t>
                </m:r>
                <m:r>
                  <m:rPr>
                    <m:nor/>
                  </m:rPr>
                  <w:rPr>
                    <w:rFonts w:ascii="Cambria Math"/>
                    <w:color w:val="0000FF"/>
                    <w:szCs w:val="22"/>
                  </w:rPr>
                  <m:t xml:space="preserve"> </m:t>
                </m:r>
                <m:r>
                  <m:rPr>
                    <m:nor/>
                  </m:rPr>
                  <w:rPr>
                    <w:color w:val="0000FF"/>
                    <w:szCs w:val="22"/>
                  </w:rPr>
                  <m:t>=</m:t>
                </m:r>
                <m:d>
                  <m:dPr>
                    <m:begChr m:val="["/>
                    <m:endChr m:val="]"/>
                    <m:ctrlPr>
                      <w:rPr>
                        <w:rFonts w:ascii="Cambria Math" w:hAnsi="Cambria Math"/>
                        <w:color w:val="0000FF"/>
                        <w:szCs w:val="22"/>
                      </w:rPr>
                    </m:ctrlPr>
                  </m:dPr>
                  <m:e>
                    <m:r>
                      <m:rPr>
                        <m:nor/>
                      </m:rPr>
                      <w:rPr>
                        <w:color w:val="0000FF"/>
                        <w:szCs w:val="22"/>
                      </w:rPr>
                      <m:t>r</m:t>
                    </m:r>
                    <m:r>
                      <m:rPr>
                        <m:nor/>
                      </m:rPr>
                      <w:rPr>
                        <w:rFonts w:ascii="Cambria Math"/>
                        <w:color w:val="0000FF"/>
                        <w:szCs w:val="22"/>
                      </w:rPr>
                      <m:t xml:space="preserve"> </m:t>
                    </m:r>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m</m:t>
                        </m:r>
                      </m:num>
                      <m:den>
                        <m:r>
                          <m:rPr>
                            <m:nor/>
                          </m:rPr>
                          <w:rPr>
                            <w:color w:val="0000FF"/>
                            <w:szCs w:val="22"/>
                          </w:rPr>
                          <m:t>12</m:t>
                        </m:r>
                      </m:den>
                    </m:f>
                    <m:r>
                      <w:rPr>
                        <w:rFonts w:ascii="Cambria Math" w:hAnsi="Cambria Math"/>
                        <w:color w:val="0000FF"/>
                        <w:szCs w:val="22"/>
                      </w:rPr>
                      <m:t>×</m:t>
                    </m:r>
                    <m:f>
                      <m:fPr>
                        <m:ctrlPr>
                          <w:rPr>
                            <w:rFonts w:ascii="Cambria Math" w:hAnsi="Cambria Math"/>
                            <w:color w:val="0000FF"/>
                            <w:szCs w:val="22"/>
                          </w:rPr>
                        </m:ctrlPr>
                      </m:fPr>
                      <m:num>
                        <m:r>
                          <m:rPr>
                            <m:nor/>
                          </m:rPr>
                          <w:rPr>
                            <w:color w:val="0000FF"/>
                            <w:szCs w:val="22"/>
                          </w:rPr>
                          <m:t>c</m:t>
                        </m:r>
                      </m:num>
                      <m:den>
                        <m:r>
                          <m:rPr>
                            <m:nor/>
                          </m:rPr>
                          <w:rPr>
                            <w:color w:val="0000FF"/>
                            <w:szCs w:val="22"/>
                          </w:rPr>
                          <m:t>2.5</m:t>
                        </m:r>
                      </m:den>
                    </m:f>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10</m:t>
                        </m:r>
                      </m:num>
                      <m:den>
                        <m:r>
                          <m:rPr>
                            <m:nor/>
                          </m:rPr>
                          <w:rPr>
                            <w:color w:val="0000FF"/>
                            <w:szCs w:val="22"/>
                          </w:rPr>
                          <m:t>100</m:t>
                        </m:r>
                      </m:den>
                    </m:f>
                  </m:e>
                </m:d>
                <m:r>
                  <m:rPr>
                    <m:nor/>
                  </m:rPr>
                  <w:rPr>
                    <w:color w:val="0000FF"/>
                    <w:szCs w:val="22"/>
                  </w:rPr>
                  <m:t>+</m:t>
                </m:r>
                <m:d>
                  <m:dPr>
                    <m:begChr m:val="["/>
                    <m:endChr m:val="]"/>
                    <m:ctrlPr>
                      <w:rPr>
                        <w:rFonts w:ascii="Cambria Math" w:hAnsi="Cambria Math"/>
                        <w:color w:val="0000FF"/>
                        <w:szCs w:val="22"/>
                      </w:rPr>
                    </m:ctrlPr>
                  </m:dPr>
                  <m:e>
                    <m:d>
                      <m:dPr>
                        <m:ctrlPr>
                          <w:rPr>
                            <w:rFonts w:ascii="Cambria Math" w:hAnsi="Cambria Math"/>
                            <w:color w:val="0000FF"/>
                            <w:szCs w:val="22"/>
                          </w:rPr>
                        </m:ctrlPr>
                      </m:dPr>
                      <m:e>
                        <m:r>
                          <m:rPr>
                            <m:nor/>
                          </m:rPr>
                          <w:rPr>
                            <w:color w:val="0000FF"/>
                            <w:szCs w:val="22"/>
                          </w:rPr>
                          <m:t>r</m:t>
                        </m:r>
                        <m:r>
                          <m:rPr>
                            <m:sty m:val="p"/>
                          </m:rPr>
                          <w:rPr>
                            <w:rFonts w:ascii="Cambria Math" w:hAnsi="Cambria Math"/>
                            <w:color w:val="0000FF"/>
                            <w:szCs w:val="22"/>
                          </w:rPr>
                          <m:t>-</m:t>
                        </m:r>
                        <m:r>
                          <m:rPr>
                            <m:nor/>
                          </m:rPr>
                          <w:rPr>
                            <w:color w:val="0000FF"/>
                            <w:szCs w:val="22"/>
                          </w:rPr>
                          <m:t>e</m:t>
                        </m:r>
                      </m:e>
                    </m:d>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f</m:t>
                        </m:r>
                      </m:num>
                      <m:den>
                        <m:r>
                          <m:rPr>
                            <m:nor/>
                          </m:rPr>
                          <w:rPr>
                            <w:color w:val="0000FF"/>
                            <w:szCs w:val="22"/>
                          </w:rPr>
                          <m:t>12</m:t>
                        </m:r>
                      </m:den>
                    </m:f>
                    <m:r>
                      <w:rPr>
                        <w:rFonts w:ascii="Cambria Math" w:hAnsi="Cambria Math"/>
                        <w:color w:val="0000FF"/>
                        <w:szCs w:val="22"/>
                      </w:rPr>
                      <m:t>×</m:t>
                    </m:r>
                    <m:f>
                      <m:fPr>
                        <m:ctrlPr>
                          <w:rPr>
                            <w:rFonts w:ascii="Cambria Math" w:hAnsi="Cambria Math"/>
                            <w:color w:val="0000FF"/>
                            <w:szCs w:val="22"/>
                          </w:rPr>
                        </m:ctrlPr>
                      </m:fPr>
                      <m:num>
                        <m:r>
                          <m:rPr>
                            <m:nor/>
                          </m:rPr>
                          <w:rPr>
                            <w:color w:val="0000FF"/>
                            <w:szCs w:val="22"/>
                          </w:rPr>
                          <m:t>c</m:t>
                        </m:r>
                      </m:num>
                      <m:den>
                        <m:r>
                          <m:rPr>
                            <m:nor/>
                          </m:rPr>
                          <w:rPr>
                            <w:color w:val="0000FF"/>
                            <w:szCs w:val="22"/>
                          </w:rPr>
                          <m:t>2.5</m:t>
                        </m:r>
                      </m:den>
                    </m:f>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10</m:t>
                        </m:r>
                      </m:num>
                      <m:den>
                        <m:r>
                          <m:rPr>
                            <m:nor/>
                          </m:rPr>
                          <w:rPr>
                            <w:color w:val="0000FF"/>
                            <w:szCs w:val="22"/>
                          </w:rPr>
                          <m:t>100</m:t>
                        </m:r>
                      </m:den>
                    </m:f>
                  </m:e>
                </m:d>
                <m:r>
                  <m:rPr>
                    <m:nor/>
                  </m:rPr>
                  <w:rPr>
                    <w:rFonts w:ascii="Cambria Math" w:hAnsi="Cambria Math"/>
                    <w:color w:val="0000FF"/>
                    <w:szCs w:val="22"/>
                  </w:rPr>
                  <m:t>+</m:t>
                </m:r>
                <m:d>
                  <m:dPr>
                    <m:begChr m:val="["/>
                    <m:endChr m:val="]"/>
                    <m:ctrlPr>
                      <w:rPr>
                        <w:rFonts w:ascii="Cambria Math" w:hAnsi="Cambria Math"/>
                        <w:color w:val="0000FF"/>
                        <w:szCs w:val="22"/>
                      </w:rPr>
                    </m:ctrlPr>
                  </m:dPr>
                  <m:e>
                    <m:r>
                      <m:rPr>
                        <m:nor/>
                      </m:rPr>
                      <w:rPr>
                        <w:color w:val="0000FF"/>
                        <w:szCs w:val="22"/>
                      </w:rPr>
                      <m:t>r</m:t>
                    </m:r>
                    <m:r>
                      <m:rPr>
                        <m:nor/>
                      </m:rPr>
                      <w:rPr>
                        <w:rFonts w:ascii="Cambria Math"/>
                        <w:color w:val="0000FF"/>
                        <w:szCs w:val="22"/>
                      </w:rPr>
                      <m:t xml:space="preserve"> </m:t>
                    </m:r>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n</m:t>
                        </m:r>
                      </m:num>
                      <m:den>
                        <m:r>
                          <m:rPr>
                            <m:nor/>
                          </m:rPr>
                          <w:rPr>
                            <w:color w:val="0000FF"/>
                            <w:szCs w:val="22"/>
                          </w:rPr>
                          <m:t>12</m:t>
                        </m:r>
                      </m:den>
                    </m:f>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c</m:t>
                        </m:r>
                      </m:num>
                      <m:den>
                        <m:r>
                          <m:rPr>
                            <m:nor/>
                          </m:rPr>
                          <w:rPr>
                            <w:color w:val="0000FF"/>
                            <w:szCs w:val="22"/>
                          </w:rPr>
                          <m:t>2.5</m:t>
                        </m:r>
                      </m:den>
                    </m:f>
                    <m:r>
                      <m:rPr>
                        <m:nor/>
                      </m:rPr>
                      <w:rPr>
                        <w:rFonts w:ascii="Cambria Math" w:hAnsi="Cambria Math"/>
                        <w:color w:val="0000FF"/>
                        <w:szCs w:val="22"/>
                      </w:rPr>
                      <m:t>×</m:t>
                    </m:r>
                    <m:f>
                      <m:fPr>
                        <m:ctrlPr>
                          <w:rPr>
                            <w:rFonts w:ascii="Cambria Math" w:hAnsi="Cambria Math"/>
                            <w:color w:val="0000FF"/>
                            <w:szCs w:val="22"/>
                          </w:rPr>
                        </m:ctrlPr>
                      </m:fPr>
                      <m:num>
                        <m:r>
                          <m:rPr>
                            <m:nor/>
                          </m:rPr>
                          <w:rPr>
                            <w:color w:val="0000FF"/>
                            <w:szCs w:val="22"/>
                          </w:rPr>
                          <m:t>6</m:t>
                        </m:r>
                      </m:num>
                      <m:den>
                        <m:r>
                          <m:rPr>
                            <m:nor/>
                          </m:rPr>
                          <w:rPr>
                            <w:color w:val="0000FF"/>
                            <w:szCs w:val="22"/>
                          </w:rPr>
                          <m:t>100</m:t>
                        </m:r>
                      </m:den>
                    </m:f>
                  </m:e>
                </m:d>
              </m:oMath>
            </m:oMathPara>
          </w:p>
          <w:p w:rsidR="00EF4EC1" w:rsidRPr="00041731" w:rsidRDefault="00EF4EC1" w:rsidP="00EF4EC1">
            <w:pPr>
              <w:pStyle w:val="Slide3"/>
              <w:rPr>
                <w:color w:val="0000FF"/>
              </w:rPr>
            </w:pPr>
            <w:r w:rsidRPr="00041731">
              <w:rPr>
                <w:color w:val="0000FF"/>
              </w:rPr>
              <w:t>where:</w:t>
            </w:r>
          </w:p>
          <w:p w:rsidR="00EF4EC1" w:rsidRPr="00041731" w:rsidRDefault="00EF4EC1" w:rsidP="00EF4EC1">
            <w:pPr>
              <w:pStyle w:val="Slide3"/>
              <w:rPr>
                <w:color w:val="0000FF"/>
              </w:rPr>
            </w:pPr>
            <w:r w:rsidRPr="00041731">
              <w:rPr>
                <w:color w:val="0000FF"/>
              </w:rPr>
              <w:t>b</w:t>
            </w:r>
            <w:r w:rsidRPr="00041731">
              <w:rPr>
                <w:color w:val="0000FF"/>
              </w:rPr>
              <w:tab/>
              <w:t>=</w:t>
            </w:r>
            <w:r w:rsidRPr="00041731">
              <w:rPr>
                <w:color w:val="0000FF"/>
              </w:rPr>
              <w:tab/>
              <w:t>amount to be added to benefit under regulation 41</w:t>
            </w:r>
          </w:p>
          <w:p w:rsidR="00EF4EC1" w:rsidRPr="00041731" w:rsidRDefault="00EF4EC1" w:rsidP="00EF4EC1">
            <w:pPr>
              <w:pStyle w:val="Slide3"/>
              <w:rPr>
                <w:color w:val="0000FF"/>
              </w:rPr>
            </w:pPr>
            <w:r w:rsidRPr="00041731">
              <w:rPr>
                <w:color w:val="0000FF"/>
              </w:rPr>
              <w:t>r</w:t>
            </w:r>
            <w:r w:rsidRPr="00041731">
              <w:rPr>
                <w:color w:val="0000FF"/>
              </w:rPr>
              <w:tab/>
              <w:t>=</w:t>
            </w:r>
            <w:r w:rsidRPr="00041731">
              <w:rPr>
                <w:color w:val="0000FF"/>
              </w:rPr>
              <w:tab/>
              <w:t>Member’s final remuneration</w:t>
            </w:r>
          </w:p>
          <w:p w:rsidR="00EF4EC1" w:rsidRPr="00041731" w:rsidRDefault="00EF4EC1" w:rsidP="00EF4EC1">
            <w:pPr>
              <w:pStyle w:val="Slide3"/>
              <w:rPr>
                <w:color w:val="0000FF"/>
              </w:rPr>
            </w:pPr>
            <w:r w:rsidRPr="00041731">
              <w:rPr>
                <w:color w:val="0000FF"/>
              </w:rPr>
              <w:t>m</w:t>
            </w:r>
            <w:r w:rsidRPr="00041731">
              <w:rPr>
                <w:color w:val="0000FF"/>
              </w:rPr>
              <w:tab/>
              <w:t>=</w:t>
            </w:r>
            <w:r w:rsidRPr="00041731">
              <w:rPr>
                <w:color w:val="0000FF"/>
              </w:rPr>
              <w:tab/>
              <w:t>number of complete months during which person was a Member</w:t>
            </w:r>
          </w:p>
          <w:p w:rsidR="00EF4EC1" w:rsidRPr="00041731" w:rsidRDefault="00EF4EC1" w:rsidP="00EF4EC1">
            <w:pPr>
              <w:pStyle w:val="Slide3"/>
              <w:rPr>
                <w:color w:val="0000FF"/>
              </w:rPr>
            </w:pPr>
            <w:r w:rsidRPr="00041731">
              <w:rPr>
                <w:color w:val="0000FF"/>
              </w:rPr>
              <w:t>c</w:t>
            </w:r>
            <w:r w:rsidRPr="00041731">
              <w:rPr>
                <w:color w:val="0000FF"/>
              </w:rPr>
              <w:tab/>
              <w:t>=</w:t>
            </w:r>
            <w:r w:rsidRPr="00041731">
              <w:rPr>
                <w:color w:val="0000FF"/>
              </w:rPr>
              <w:tab/>
              <w:t>Member’s average contribution rate</w:t>
            </w:r>
          </w:p>
          <w:p w:rsidR="00EF4EC1" w:rsidRPr="00041731" w:rsidRDefault="00EF4EC1" w:rsidP="00EF4EC1">
            <w:pPr>
              <w:pStyle w:val="Slide3"/>
              <w:rPr>
                <w:color w:val="0000FF"/>
              </w:rPr>
            </w:pPr>
            <w:r w:rsidRPr="00041731">
              <w:rPr>
                <w:color w:val="0000FF"/>
              </w:rPr>
              <w:t>e</w:t>
            </w:r>
            <w:r w:rsidRPr="00041731">
              <w:rPr>
                <w:color w:val="0000FF"/>
              </w:rPr>
              <w:tab/>
              <w:t>=</w:t>
            </w:r>
            <w:r w:rsidRPr="00041731">
              <w:rPr>
                <w:color w:val="0000FF"/>
              </w:rPr>
              <w:tab/>
              <w:t>annual amount of remuneration that the Board considers the Member has the capacity to earn after becoming disabled</w:t>
            </w:r>
          </w:p>
          <w:p w:rsidR="00EF4EC1" w:rsidRPr="00041731" w:rsidRDefault="00EF4EC1" w:rsidP="00EF4EC1">
            <w:pPr>
              <w:pStyle w:val="Slide3"/>
              <w:tabs>
                <w:tab w:val="left" w:pos="1134"/>
              </w:tabs>
              <w:rPr>
                <w:color w:val="0000FF"/>
              </w:rPr>
            </w:pPr>
            <w:r w:rsidRPr="00041731">
              <w:rPr>
                <w:color w:val="0000FF"/>
              </w:rPr>
              <w:t>f</w:t>
            </w:r>
            <w:r w:rsidRPr="00041731">
              <w:rPr>
                <w:color w:val="0000FF"/>
              </w:rPr>
              <w:tab/>
              <w:t>=</w:t>
            </w:r>
            <w:r w:rsidRPr="00041731">
              <w:rPr>
                <w:color w:val="0000FF"/>
              </w:rPr>
              <w:tab/>
              <w:t>if Member was a Member when he or she ceased to be an eligible worker</w:t>
            </w:r>
            <w:r>
              <w:rPr>
                <w:color w:val="0000FF"/>
              </w:rPr>
              <w:t xml:space="preserve">, </w:t>
            </w:r>
            <w:r>
              <w:rPr>
                <w:color w:val="0000FF"/>
              </w:rPr>
              <w:br/>
              <w:t xml:space="preserve">then f = </w:t>
            </w:r>
            <w:r w:rsidRPr="00041731">
              <w:rPr>
                <w:color w:val="0000FF"/>
              </w:rPr>
              <w:t>number of complete months from day on which Member ceased to be an eligible worker to the end day</w:t>
            </w:r>
          </w:p>
          <w:p w:rsidR="00EF4EC1" w:rsidRPr="00041731" w:rsidRDefault="00EF4EC1" w:rsidP="00EF4EC1">
            <w:pPr>
              <w:pStyle w:val="Slide3"/>
              <w:tabs>
                <w:tab w:val="left" w:pos="1134"/>
              </w:tabs>
              <w:ind w:left="1418" w:hanging="851"/>
              <w:rPr>
                <w:color w:val="0000FF"/>
              </w:rPr>
            </w:pPr>
            <w:r>
              <w:rPr>
                <w:color w:val="0000FF"/>
              </w:rPr>
              <w:tab/>
            </w:r>
            <w:r w:rsidRPr="00041731">
              <w:rPr>
                <w:color w:val="0000FF"/>
              </w:rPr>
              <w:tab/>
              <w:t xml:space="preserve">otherwise, </w:t>
            </w:r>
            <w:r>
              <w:rPr>
                <w:color w:val="0000FF"/>
              </w:rPr>
              <w:t xml:space="preserve">f = </w:t>
            </w:r>
            <w:r w:rsidRPr="00041731">
              <w:rPr>
                <w:color w:val="0000FF"/>
              </w:rPr>
              <w:t>zero</w:t>
            </w:r>
          </w:p>
          <w:p w:rsidR="00EF4EC1" w:rsidRPr="00041731" w:rsidRDefault="00EF4EC1" w:rsidP="00EF4EC1">
            <w:pPr>
              <w:pStyle w:val="Slide3"/>
              <w:tabs>
                <w:tab w:val="left" w:pos="1134"/>
              </w:tabs>
              <w:rPr>
                <w:color w:val="0000FF"/>
              </w:rPr>
            </w:pPr>
            <w:r w:rsidRPr="00041731">
              <w:rPr>
                <w:color w:val="0000FF"/>
              </w:rPr>
              <w:t>n</w:t>
            </w:r>
            <w:r w:rsidRPr="00041731">
              <w:rPr>
                <w:color w:val="0000FF"/>
              </w:rPr>
              <w:tab/>
              <w:t>=</w:t>
            </w:r>
            <w:r w:rsidRPr="00041731">
              <w:rPr>
                <w:color w:val="0000FF"/>
              </w:rPr>
              <w:tab/>
              <w:t>if Member is a transferee police officer</w:t>
            </w:r>
            <w:r>
              <w:rPr>
                <w:color w:val="0000FF"/>
              </w:rPr>
              <w:t xml:space="preserve">, </w:t>
            </w:r>
            <w:r>
              <w:rPr>
                <w:color w:val="0000FF"/>
              </w:rPr>
              <w:br/>
              <w:t xml:space="preserve">then f = </w:t>
            </w:r>
            <w:r w:rsidRPr="00041731">
              <w:rPr>
                <w:color w:val="0000FF"/>
              </w:rPr>
              <w:t xml:space="preserve">number of complete months from </w:t>
            </w:r>
            <w:r>
              <w:rPr>
                <w:color w:val="0000FF"/>
              </w:rPr>
              <w:t xml:space="preserve">Member’s </w:t>
            </w:r>
            <w:r w:rsidRPr="00041731">
              <w:rPr>
                <w:color w:val="0000FF"/>
              </w:rPr>
              <w:t>50th birthday to the day on whi</w:t>
            </w:r>
            <w:r>
              <w:rPr>
                <w:color w:val="0000FF"/>
              </w:rPr>
              <w:t>ch he or she became a Member</w:t>
            </w:r>
          </w:p>
          <w:p w:rsidR="00EF4EC1" w:rsidRPr="00041731" w:rsidRDefault="00EF4EC1" w:rsidP="00EF4EC1">
            <w:pPr>
              <w:pStyle w:val="Slide3"/>
              <w:tabs>
                <w:tab w:val="left" w:pos="1134"/>
              </w:tabs>
              <w:ind w:left="1418" w:hanging="851"/>
              <w:rPr>
                <w:rFonts w:ascii="Times New Roman" w:hAnsi="Times New Roman" w:cs="Times New Roman"/>
                <w:color w:val="0000FF"/>
              </w:rPr>
            </w:pPr>
            <w:r>
              <w:rPr>
                <w:color w:val="0000FF"/>
              </w:rPr>
              <w:tab/>
            </w:r>
            <w:r>
              <w:rPr>
                <w:color w:val="0000FF"/>
              </w:rPr>
              <w:tab/>
            </w:r>
            <w:r w:rsidRPr="00041731">
              <w:rPr>
                <w:color w:val="0000FF"/>
              </w:rPr>
              <w:t xml:space="preserve">otherwise, </w:t>
            </w:r>
            <w:r>
              <w:rPr>
                <w:color w:val="0000FF"/>
              </w:rPr>
              <w:t xml:space="preserve">f = </w:t>
            </w:r>
            <w:r w:rsidRPr="00041731">
              <w:rPr>
                <w:color w:val="0000FF"/>
              </w:rPr>
              <w:t>zero.</w:t>
            </w:r>
          </w:p>
        </w:tc>
      </w:tr>
    </w:tbl>
    <w:p w:rsidR="00EF4EC1" w:rsidRDefault="00EF4EC1" w:rsidP="00EF4EC1">
      <w:pPr>
        <w:pStyle w:val="Normaltext1"/>
      </w:pPr>
      <w:r w:rsidRPr="00B87EC6">
        <w:t>There are some concepts that are relatively simple in mathematical terms, but that are difficult, or at least wordy, to describe. Indexation of amounts in line with Consumer Price Index is one such concept. Example 4 shows how a formula might make the provision easier for a reader.</w:t>
      </w:r>
    </w:p>
    <w:p w:rsidR="00EF4EC1" w:rsidRDefault="00EF4EC1" w:rsidP="00EF4EC1">
      <w:pPr>
        <w:rPr>
          <w:rFonts w:eastAsia="Calibri"/>
          <w:color w:val="000000"/>
          <w:spacing w:val="-3"/>
          <w:szCs w:val="25"/>
          <w:lang w:val="en-CA"/>
        </w:rPr>
      </w:pPr>
      <w:r>
        <w:br w:type="page"/>
      </w:r>
    </w:p>
    <w:p w:rsidR="00EF4EC1" w:rsidRPr="00616683" w:rsidRDefault="00EF4EC1" w:rsidP="00EF4EC1">
      <w:pPr>
        <w:pStyle w:val="Slidelabel"/>
      </w:pPr>
      <w:bookmarkStart w:id="91" w:name="_Ref475606875"/>
      <w:r w:rsidRPr="00616683">
        <w:lastRenderedPageBreak/>
        <w:t xml:space="preserve">Indexation by </w:t>
      </w:r>
      <w:bookmarkEnd w:id="91"/>
      <w:r>
        <w:t>Consumer Price Index</w:t>
      </w:r>
    </w:p>
    <w:tbl>
      <w:tblPr>
        <w:tblStyle w:val="TableGrid"/>
        <w:tblW w:w="8504" w:type="dxa"/>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Tr="00EF4EC1">
        <w:tc>
          <w:tcPr>
            <w:tcW w:w="8504" w:type="dxa"/>
            <w:shd w:val="clear" w:color="auto" w:fill="FFFFFF"/>
          </w:tcPr>
          <w:p w:rsidR="00EF4EC1" w:rsidRPr="00041731" w:rsidRDefault="00EF4EC1" w:rsidP="00EF4EC1">
            <w:pPr>
              <w:pStyle w:val="Slide1"/>
              <w:keepNext w:val="0"/>
              <w:rPr>
                <w:color w:val="0000FF"/>
              </w:rPr>
            </w:pPr>
            <w:r w:rsidRPr="00041731">
              <w:rPr>
                <w:color w:val="0000FF"/>
              </w:rPr>
              <w:t>7</w:t>
            </w:r>
            <w:r w:rsidRPr="00041731">
              <w:rPr>
                <w:color w:val="0000FF"/>
              </w:rPr>
              <w:tab/>
              <w:t>Indexation of certain amounts</w:t>
            </w:r>
          </w:p>
          <w:p w:rsidR="00EF4EC1" w:rsidRPr="00041731" w:rsidRDefault="00EF4EC1" w:rsidP="00EF4EC1">
            <w:pPr>
              <w:pStyle w:val="Slide2"/>
              <w:rPr>
                <w:color w:val="0000FF"/>
              </w:rPr>
            </w:pPr>
            <w:r w:rsidRPr="00041731">
              <w:rPr>
                <w:color w:val="0000FF"/>
              </w:rPr>
              <w:tab/>
              <w:t xml:space="preserve">An amount that a provision of this Act describes as applying in accordance with this section is ... the nearest whole number of dollars to the amount obtained by varying the amount applying at the commencement of the preceding financial year by the percentage by which the March CPI varies from the March CPI for the preceding financial year </w:t>
            </w:r>
            <w:r>
              <w:rPr>
                <w:color w:val="0000FF"/>
              </w:rPr>
              <w:t>...</w:t>
            </w:r>
            <w:r w:rsidRPr="00041731">
              <w:rPr>
                <w:color w:val="0000FF"/>
              </w:rPr>
              <w:t xml:space="preserve"> (with an amount that is 50 cents more than a whole number of dollars being rounded off to the next highest whole number of dollars).</w:t>
            </w:r>
          </w:p>
        </w:tc>
      </w:tr>
      <w:tr w:rsidR="00EF4EC1" w:rsidTr="00EF4EC1">
        <w:trPr>
          <w:cantSplit/>
        </w:trPr>
        <w:tc>
          <w:tcPr>
            <w:tcW w:w="8504" w:type="dxa"/>
            <w:shd w:val="clear" w:color="auto" w:fill="FFFFFF"/>
          </w:tcPr>
          <w:p w:rsidR="00EF4EC1" w:rsidRPr="00041731" w:rsidRDefault="00EF4EC1" w:rsidP="00EF4EC1">
            <w:pPr>
              <w:pStyle w:val="Slide2"/>
              <w:rPr>
                <w:i/>
                <w:color w:val="0000FF"/>
              </w:rPr>
            </w:pPr>
            <w:r w:rsidRPr="00041731">
              <w:rPr>
                <w:i/>
                <w:color w:val="0000FF"/>
              </w:rPr>
              <w:t>Rewritten as a formula:</w:t>
            </w:r>
          </w:p>
          <w:p w:rsidR="00EF4EC1" w:rsidRPr="00041731" w:rsidRDefault="00EF4EC1" w:rsidP="00EF4EC1">
            <w:pPr>
              <w:pStyle w:val="Slide1"/>
              <w:rPr>
                <w:color w:val="0000FF"/>
              </w:rPr>
            </w:pPr>
            <w:r w:rsidRPr="00041731">
              <w:rPr>
                <w:color w:val="0000FF"/>
              </w:rPr>
              <w:t>7</w:t>
            </w:r>
            <w:r w:rsidRPr="00041731">
              <w:rPr>
                <w:color w:val="0000FF"/>
              </w:rPr>
              <w:tab/>
              <w:t>Indexation of certain amounts</w:t>
            </w:r>
          </w:p>
          <w:p w:rsidR="00EF4EC1" w:rsidRPr="00041731" w:rsidRDefault="00EF4EC1" w:rsidP="00EF4EC1">
            <w:pPr>
              <w:pStyle w:val="Slide2"/>
              <w:rPr>
                <w:color w:val="0000FF"/>
              </w:rPr>
            </w:pPr>
            <w:r w:rsidRPr="00041731">
              <w:rPr>
                <w:color w:val="0000FF"/>
              </w:rPr>
              <w:t>(1)</w:t>
            </w:r>
            <w:r w:rsidRPr="00041731">
              <w:rPr>
                <w:color w:val="0000FF"/>
              </w:rPr>
              <w:tab/>
              <w:t>An amount that a provision of this Act describes as applying in accordance with this section is ... the amount determined in accordance with the following formula:</w:t>
            </w:r>
          </w:p>
          <w:p w:rsidR="00EF4EC1" w:rsidRPr="00734F37" w:rsidRDefault="00EF4EC1" w:rsidP="00EF4EC1">
            <w:pPr>
              <w:pStyle w:val="Slide1"/>
              <w:keepNext w:val="0"/>
              <w:rPr>
                <w:color w:val="0000FF"/>
                <w:oMath/>
              </w:rPr>
            </w:pPr>
            <m:oMathPara>
              <m:oMathParaPr>
                <m:jc m:val="left"/>
              </m:oMathParaPr>
              <m:oMath>
                <m:r>
                  <m:rPr>
                    <m:nor/>
                  </m:rPr>
                  <w:rPr>
                    <w:b w:val="0"/>
                    <w:color w:val="0000FF"/>
                  </w:rPr>
                  <m:t>a</m:t>
                </m:r>
                <m:r>
                  <m:rPr>
                    <m:nor/>
                  </m:rPr>
                  <w:rPr>
                    <w:rFonts w:ascii="Cambria Math"/>
                    <w:b w:val="0"/>
                    <w:color w:val="0000FF"/>
                  </w:rPr>
                  <m:t xml:space="preserve"> </m:t>
                </m:r>
                <m:r>
                  <m:rPr>
                    <m:nor/>
                  </m:rPr>
                  <w:rPr>
                    <w:b w:val="0"/>
                    <w:color w:val="0000FF"/>
                  </w:rPr>
                  <m:t>=</m:t>
                </m:r>
                <m:r>
                  <m:rPr>
                    <m:nor/>
                  </m:rPr>
                  <w:rPr>
                    <w:rFonts w:ascii="Cambria Math"/>
                    <w:b w:val="0"/>
                    <w:color w:val="0000FF"/>
                  </w:rPr>
                  <m:t xml:space="preserve"> </m:t>
                </m:r>
                <m:f>
                  <m:fPr>
                    <m:ctrlPr>
                      <w:rPr>
                        <w:rFonts w:ascii="Cambria Math" w:hAnsi="Cambria Math"/>
                        <w:b w:val="0"/>
                        <w:color w:val="0000FF"/>
                      </w:rPr>
                    </m:ctrlPr>
                  </m:fPr>
                  <m:num>
                    <m:sSub>
                      <m:sSubPr>
                        <m:ctrlPr>
                          <w:rPr>
                            <w:rFonts w:ascii="Cambria Math" w:hAnsi="Cambria Math"/>
                            <w:b w:val="0"/>
                            <w:color w:val="0000FF"/>
                          </w:rPr>
                        </m:ctrlPr>
                      </m:sSubPr>
                      <m:e>
                        <m:r>
                          <m:rPr>
                            <m:nor/>
                          </m:rPr>
                          <w:rPr>
                            <w:b w:val="0"/>
                            <w:color w:val="0000FF"/>
                          </w:rPr>
                          <m:t>c</m:t>
                        </m:r>
                      </m:e>
                      <m:sub>
                        <m:r>
                          <m:rPr>
                            <m:nor/>
                          </m:rPr>
                          <w:rPr>
                            <w:b w:val="0"/>
                            <w:color w:val="0000FF"/>
                          </w:rPr>
                          <m:t>c</m:t>
                        </m:r>
                      </m:sub>
                    </m:sSub>
                  </m:num>
                  <m:den>
                    <m:sSub>
                      <m:sSubPr>
                        <m:ctrlPr>
                          <w:rPr>
                            <w:rFonts w:ascii="Cambria Math" w:hAnsi="Cambria Math"/>
                            <w:b w:val="0"/>
                            <w:color w:val="0000FF"/>
                          </w:rPr>
                        </m:ctrlPr>
                      </m:sSubPr>
                      <m:e>
                        <m:r>
                          <m:rPr>
                            <m:nor/>
                          </m:rPr>
                          <w:rPr>
                            <w:b w:val="0"/>
                            <w:color w:val="0000FF"/>
                          </w:rPr>
                          <m:t>c</m:t>
                        </m:r>
                      </m:e>
                      <m:sub>
                        <m:r>
                          <m:rPr>
                            <m:nor/>
                          </m:rPr>
                          <w:rPr>
                            <w:b w:val="0"/>
                            <w:color w:val="0000FF"/>
                          </w:rPr>
                          <m:t>p</m:t>
                        </m:r>
                      </m:sub>
                    </m:sSub>
                  </m:den>
                </m:f>
                <m:r>
                  <m:rPr>
                    <m:nor/>
                  </m:rPr>
                  <w:rPr>
                    <w:rFonts w:ascii="Cambria Math" w:hAnsi="Cambria Math"/>
                    <w:b w:val="0"/>
                    <w:color w:val="0000FF"/>
                  </w:rPr>
                  <m:t xml:space="preserve"> × </m:t>
                </m:r>
                <m:sSub>
                  <m:sSubPr>
                    <m:ctrlPr>
                      <w:rPr>
                        <w:rFonts w:ascii="Cambria Math" w:hAnsi="Cambria Math"/>
                        <w:b w:val="0"/>
                        <w:color w:val="0000FF"/>
                      </w:rPr>
                    </m:ctrlPr>
                  </m:sSubPr>
                  <m:e>
                    <m:r>
                      <m:rPr>
                        <m:nor/>
                      </m:rPr>
                      <w:rPr>
                        <w:b w:val="0"/>
                        <w:color w:val="0000FF"/>
                      </w:rPr>
                      <m:t>a</m:t>
                    </m:r>
                  </m:e>
                  <m:sub>
                    <m:r>
                      <m:rPr>
                        <m:nor/>
                      </m:rPr>
                      <w:rPr>
                        <w:b w:val="0"/>
                        <w:color w:val="0000FF"/>
                      </w:rPr>
                      <m:t>p</m:t>
                    </m:r>
                  </m:sub>
                </m:sSub>
              </m:oMath>
            </m:oMathPara>
          </w:p>
          <w:p w:rsidR="00EF4EC1" w:rsidRPr="00041731" w:rsidRDefault="00EF4EC1" w:rsidP="00EF4EC1">
            <w:pPr>
              <w:pStyle w:val="Slide3"/>
              <w:rPr>
                <w:color w:val="0000FF"/>
              </w:rPr>
            </w:pPr>
            <w:r w:rsidRPr="00041731">
              <w:rPr>
                <w:color w:val="0000FF"/>
              </w:rPr>
              <w:t>where:</w:t>
            </w:r>
          </w:p>
          <w:p w:rsidR="00EF4EC1" w:rsidRPr="00041731" w:rsidRDefault="00EF4EC1" w:rsidP="00EF4EC1">
            <w:pPr>
              <w:pStyle w:val="Slide3"/>
              <w:rPr>
                <w:color w:val="0000FF"/>
              </w:rPr>
            </w:pPr>
            <w:r w:rsidRPr="00041731">
              <w:rPr>
                <w:color w:val="0000FF"/>
              </w:rPr>
              <w:t>a</w:t>
            </w:r>
            <w:r w:rsidRPr="00041731">
              <w:rPr>
                <w:color w:val="0000FF"/>
              </w:rPr>
              <w:tab/>
              <w:t>=</w:t>
            </w:r>
            <w:r w:rsidRPr="00041731">
              <w:rPr>
                <w:color w:val="0000FF"/>
              </w:rPr>
              <w:tab/>
              <w:t>amount, in dollars, to be applied in accordance with this section</w:t>
            </w:r>
          </w:p>
          <w:p w:rsidR="00EF4EC1" w:rsidRPr="00041731" w:rsidRDefault="00EF4EC1" w:rsidP="00EF4EC1">
            <w:pPr>
              <w:pStyle w:val="Slide3"/>
              <w:rPr>
                <w:color w:val="0000FF"/>
              </w:rPr>
            </w:pPr>
            <w:r w:rsidRPr="00041731">
              <w:rPr>
                <w:color w:val="0000FF"/>
              </w:rPr>
              <w:t>c</w:t>
            </w:r>
            <w:r w:rsidRPr="00041731">
              <w:rPr>
                <w:color w:val="0000FF"/>
                <w:vertAlign w:val="subscript"/>
              </w:rPr>
              <w:t>c</w:t>
            </w:r>
            <w:r w:rsidRPr="00041731">
              <w:rPr>
                <w:color w:val="0000FF"/>
              </w:rPr>
              <w:tab/>
              <w:t>=</w:t>
            </w:r>
            <w:r w:rsidRPr="00041731">
              <w:rPr>
                <w:color w:val="0000FF"/>
              </w:rPr>
              <w:tab/>
              <w:t>March CPI for the current financial year</w:t>
            </w:r>
          </w:p>
          <w:p w:rsidR="00EF4EC1" w:rsidRPr="00041731" w:rsidRDefault="00EF4EC1" w:rsidP="00EF4EC1">
            <w:pPr>
              <w:pStyle w:val="Slide3"/>
              <w:rPr>
                <w:color w:val="0000FF"/>
              </w:rPr>
            </w:pPr>
            <w:r w:rsidRPr="00041731">
              <w:rPr>
                <w:color w:val="0000FF"/>
              </w:rPr>
              <w:t>c</w:t>
            </w:r>
            <w:r w:rsidRPr="00041731">
              <w:rPr>
                <w:color w:val="0000FF"/>
                <w:vertAlign w:val="subscript"/>
              </w:rPr>
              <w:t>p</w:t>
            </w:r>
            <w:r w:rsidRPr="00041731">
              <w:rPr>
                <w:color w:val="0000FF"/>
              </w:rPr>
              <w:tab/>
              <w:t>=</w:t>
            </w:r>
            <w:r w:rsidRPr="00041731">
              <w:rPr>
                <w:color w:val="0000FF"/>
              </w:rPr>
              <w:tab/>
              <w:t>March CPI for the previous financial year</w:t>
            </w:r>
          </w:p>
          <w:p w:rsidR="00EF4EC1" w:rsidRPr="00041731" w:rsidRDefault="00EF4EC1" w:rsidP="00EF4EC1">
            <w:pPr>
              <w:pStyle w:val="Slide3"/>
              <w:rPr>
                <w:color w:val="0000FF"/>
              </w:rPr>
            </w:pPr>
            <w:r w:rsidRPr="00041731">
              <w:rPr>
                <w:color w:val="0000FF"/>
              </w:rPr>
              <w:t>a</w:t>
            </w:r>
            <w:r w:rsidRPr="00041731">
              <w:rPr>
                <w:color w:val="0000FF"/>
                <w:vertAlign w:val="subscript"/>
              </w:rPr>
              <w:t>p</w:t>
            </w:r>
            <w:r w:rsidRPr="00041731">
              <w:rPr>
                <w:color w:val="0000FF"/>
              </w:rPr>
              <w:tab/>
              <w:t>=</w:t>
            </w:r>
            <w:r w:rsidRPr="00041731">
              <w:rPr>
                <w:color w:val="0000FF"/>
              </w:rPr>
              <w:tab/>
              <w:t>amount that applied in accordance with this section at the commencement of the previous financial year.</w:t>
            </w:r>
          </w:p>
          <w:p w:rsidR="00EF4EC1" w:rsidRPr="00041731" w:rsidRDefault="00EF4EC1" w:rsidP="00EF4EC1">
            <w:pPr>
              <w:pStyle w:val="Slide2"/>
              <w:rPr>
                <w:color w:val="0000FF"/>
              </w:rPr>
            </w:pPr>
            <w:r w:rsidRPr="00041731">
              <w:rPr>
                <w:color w:val="0000FF"/>
              </w:rPr>
              <w:t>(2)</w:t>
            </w:r>
            <w:r w:rsidRPr="00041731">
              <w:rPr>
                <w:color w:val="0000FF"/>
              </w:rPr>
              <w:tab/>
              <w:t>An amount determined under subsection (1) is to be rounded to the nearest whole number, with an amount of 50 cents rounded upwards.</w:t>
            </w:r>
          </w:p>
        </w:tc>
      </w:tr>
    </w:tbl>
    <w:p w:rsidR="00EF4EC1" w:rsidRDefault="00EF4EC1" w:rsidP="00EF4EC1">
      <w:pPr>
        <w:pStyle w:val="Normaltext1"/>
      </w:pPr>
      <w:r w:rsidRPr="00B87EC6">
        <w:t>Then there are calculations that are mathematically complicated. This is what mathematical notation was invented to deal with. If a calculation involves anything more complicated than the basic arithmetical functions of addition, subtraction, multiplication</w:t>
      </w:r>
      <w:r>
        <w:t xml:space="preserve"> and</w:t>
      </w:r>
      <w:r w:rsidRPr="00B87EC6">
        <w:t xml:space="preserve"> division, then I would strongly recommend the use of a formula. Many of the calculations in what might be described as scientific or technical legislation fall into this category. Examples 5 to 7 show calculations involving logarithms, statistics</w:t>
      </w:r>
      <w:r>
        <w:t xml:space="preserve"> and</w:t>
      </w:r>
      <w:r w:rsidRPr="00B87EC6">
        <w:t xml:space="preserve"> trigonometry (I have yet to find calculus in legislation, but it might well be out there).</w:t>
      </w:r>
    </w:p>
    <w:p w:rsidR="00EF4EC1" w:rsidRDefault="00EF4EC1" w:rsidP="00EF4EC1">
      <w:pPr>
        <w:pStyle w:val="Normaltext1"/>
      </w:pPr>
    </w:p>
    <w:p w:rsidR="00EF4EC1" w:rsidRPr="00B87EC6" w:rsidRDefault="00EF4EC1" w:rsidP="00EF4EC1">
      <w:pPr>
        <w:pStyle w:val="Normaltext1"/>
      </w:pPr>
    </w:p>
    <w:p w:rsidR="00EF4EC1" w:rsidRPr="00616683" w:rsidRDefault="00EF4EC1" w:rsidP="00EF4EC1">
      <w:pPr>
        <w:pStyle w:val="Slidelabel"/>
      </w:pPr>
      <w:bookmarkStart w:id="92" w:name="_Ref475691986"/>
      <w:r w:rsidRPr="00616683">
        <w:lastRenderedPageBreak/>
        <w:t>Calculation involving logarithms</w:t>
      </w:r>
      <w:bookmarkEnd w:id="92"/>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Tr="00EF4EC1">
        <w:tc>
          <w:tcPr>
            <w:tcW w:w="8504" w:type="dxa"/>
            <w:shd w:val="clear" w:color="auto" w:fill="FFFFFF"/>
          </w:tcPr>
          <w:p w:rsidR="00EF4EC1" w:rsidRPr="00041731" w:rsidRDefault="00EF4EC1" w:rsidP="00EF4EC1">
            <w:pPr>
              <w:pStyle w:val="Slide1"/>
              <w:keepNext w:val="0"/>
              <w:rPr>
                <w:color w:val="0000FF"/>
              </w:rPr>
            </w:pPr>
            <w:r w:rsidRPr="00041731">
              <w:rPr>
                <w:color w:val="0000FF"/>
              </w:rPr>
              <w:t>15</w:t>
            </w:r>
            <w:r w:rsidRPr="00041731">
              <w:rPr>
                <w:color w:val="0000FF"/>
              </w:rPr>
              <w:tab/>
              <w:t>Determination of noise level</w:t>
            </w:r>
          </w:p>
          <w:p w:rsidR="00EF4EC1" w:rsidRPr="00041731" w:rsidRDefault="00EF4EC1" w:rsidP="00EF4EC1">
            <w:pPr>
              <w:pStyle w:val="Slide2"/>
              <w:rPr>
                <w:color w:val="0000FF"/>
              </w:rPr>
            </w:pPr>
            <w:r w:rsidRPr="00041731">
              <w:rPr>
                <w:color w:val="0000FF"/>
              </w:rPr>
              <w:tab/>
              <w:t>An A</w:t>
            </w:r>
            <w:r>
              <w:rPr>
                <w:color w:val="0000FF"/>
              </w:rPr>
              <w:noBreakHyphen/>
            </w:r>
            <w:r w:rsidRPr="00041731">
              <w:rPr>
                <w:color w:val="0000FF"/>
              </w:rPr>
              <w:t>weighted sound pressure level must be calculated from the measured values of the A</w:t>
            </w:r>
            <w:r>
              <w:rPr>
                <w:color w:val="0000FF"/>
              </w:rPr>
              <w:noBreakHyphen/>
            </w:r>
            <w:r w:rsidRPr="00041731">
              <w:rPr>
                <w:color w:val="0000FF"/>
              </w:rPr>
              <w:t>weighted sound pressure levels from the following formula:</w:t>
            </w:r>
          </w:p>
          <w:p w:rsidR="00EF4EC1" w:rsidRPr="00734F37" w:rsidRDefault="00EF4EC1" w:rsidP="00EF4EC1">
            <w:pPr>
              <w:pStyle w:val="Subsection0"/>
              <w:tabs>
                <w:tab w:val="clear" w:pos="595"/>
                <w:tab w:val="clear" w:pos="879"/>
                <w:tab w:val="left" w:pos="851"/>
              </w:tabs>
              <w:spacing w:before="120" w:line="240" w:lineRule="atLeast"/>
              <w:ind w:left="851" w:firstLine="0"/>
              <w:rPr>
                <w:rFonts w:ascii="Arial" w:hAnsi="Arial" w:cs="Arial"/>
                <w:snapToGrid w:val="0"/>
                <w:color w:val="0000FF"/>
                <w:sz w:val="22"/>
                <w:szCs w:val="22"/>
                <w:oMath/>
              </w:rPr>
            </w:pPr>
            <m:oMathPara>
              <m:oMathParaPr>
                <m:jc m:val="left"/>
              </m:oMathParaPr>
              <m:oMath>
                <m:r>
                  <m:rPr>
                    <m:nor/>
                  </m:rPr>
                  <w:rPr>
                    <w:rFonts w:ascii="Arial" w:hAnsi="Arial" w:cs="Arial"/>
                    <w:snapToGrid w:val="0"/>
                    <w:color w:val="0000FF"/>
                    <w:sz w:val="22"/>
                    <w:szCs w:val="22"/>
                  </w:rPr>
                  <m:t>LpA</m:t>
                </m:r>
                <m:r>
                  <m:rPr>
                    <m:nor/>
                  </m:rPr>
                  <w:rPr>
                    <w:rFonts w:ascii="Cambria Math" w:hAnsi="Arial" w:cs="Arial"/>
                    <w:snapToGrid w:val="0"/>
                    <w:color w:val="0000FF"/>
                    <w:sz w:val="22"/>
                    <w:szCs w:val="22"/>
                  </w:rPr>
                  <m:t xml:space="preserve"> </m:t>
                </m:r>
                <m:r>
                  <m:rPr>
                    <m:nor/>
                  </m:rPr>
                  <w:rPr>
                    <w:rFonts w:ascii="Arial" w:hAnsi="Arial" w:cs="Arial"/>
                    <w:snapToGrid w:val="0"/>
                    <w:color w:val="0000FF"/>
                    <w:sz w:val="22"/>
                    <w:szCs w:val="22"/>
                  </w:rPr>
                  <m:t>=</m:t>
                </m:r>
                <m:r>
                  <m:rPr>
                    <m:nor/>
                  </m:rPr>
                  <w:rPr>
                    <w:rFonts w:ascii="Cambria Math" w:hAnsi="Arial" w:cs="Arial"/>
                    <w:snapToGrid w:val="0"/>
                    <w:color w:val="0000FF"/>
                    <w:sz w:val="22"/>
                    <w:szCs w:val="22"/>
                  </w:rPr>
                  <m:t xml:space="preserve"> </m:t>
                </m:r>
                <m:f>
                  <m:fPr>
                    <m:ctrlPr>
                      <w:rPr>
                        <w:rFonts w:ascii="Cambria Math" w:hAnsi="Cambria Math" w:cs="Arial"/>
                        <w:snapToGrid w:val="0"/>
                        <w:color w:val="0000FF"/>
                        <w:sz w:val="22"/>
                        <w:szCs w:val="22"/>
                      </w:rPr>
                    </m:ctrlPr>
                  </m:fPr>
                  <m:num>
                    <m:r>
                      <m:rPr>
                        <m:nor/>
                      </m:rPr>
                      <w:rPr>
                        <w:rFonts w:ascii="Arial" w:hAnsi="Arial" w:cs="Arial"/>
                        <w:snapToGrid w:val="0"/>
                        <w:color w:val="0000FF"/>
                        <w:sz w:val="22"/>
                        <w:szCs w:val="22"/>
                      </w:rPr>
                      <m:t xml:space="preserve">10 </m:t>
                    </m:r>
                    <m:func>
                      <m:funcPr>
                        <m:ctrlPr>
                          <w:rPr>
                            <w:rFonts w:ascii="Cambria Math" w:hAnsi="Cambria Math" w:cs="Arial"/>
                            <w:snapToGrid w:val="0"/>
                            <w:color w:val="0000FF"/>
                            <w:sz w:val="22"/>
                            <w:szCs w:val="22"/>
                          </w:rPr>
                        </m:ctrlPr>
                      </m:funcPr>
                      <m:fName>
                        <m:sSub>
                          <m:sSubPr>
                            <m:ctrlPr>
                              <w:rPr>
                                <w:rFonts w:ascii="Cambria Math" w:hAnsi="Cambria Math" w:cs="Arial"/>
                                <w:snapToGrid w:val="0"/>
                                <w:color w:val="0000FF"/>
                                <w:sz w:val="22"/>
                                <w:szCs w:val="22"/>
                              </w:rPr>
                            </m:ctrlPr>
                          </m:sSubPr>
                          <m:e>
                            <m:r>
                              <m:rPr>
                                <m:nor/>
                              </m:rPr>
                              <w:rPr>
                                <w:rFonts w:ascii="Arial" w:hAnsi="Arial" w:cs="Arial"/>
                                <w:snapToGrid w:val="0"/>
                                <w:color w:val="0000FF"/>
                                <w:sz w:val="22"/>
                                <w:szCs w:val="22"/>
                              </w:rPr>
                              <m:t>log</m:t>
                            </m:r>
                          </m:e>
                          <m:sub>
                            <m:r>
                              <m:rPr>
                                <m:nor/>
                              </m:rPr>
                              <w:rPr>
                                <w:rFonts w:ascii="Arial" w:hAnsi="Arial" w:cs="Arial"/>
                                <w:snapToGrid w:val="0"/>
                                <w:color w:val="0000FF"/>
                                <w:sz w:val="22"/>
                                <w:szCs w:val="22"/>
                              </w:rPr>
                              <m:t>10</m:t>
                            </m:r>
                          </m:sub>
                        </m:sSub>
                      </m:fName>
                      <m:e/>
                    </m:func>
                  </m:num>
                  <m:den>
                    <m:r>
                      <m:rPr>
                        <m:nor/>
                      </m:rPr>
                      <w:rPr>
                        <w:rFonts w:ascii="Arial" w:hAnsi="Arial" w:cs="Arial"/>
                        <w:snapToGrid w:val="0"/>
                        <w:color w:val="0000FF"/>
                        <w:sz w:val="22"/>
                        <w:szCs w:val="22"/>
                      </w:rPr>
                      <m:t>n</m:t>
                    </m:r>
                  </m:den>
                </m:f>
                <m:nary>
                  <m:naryPr>
                    <m:chr m:val="∑"/>
                    <m:limLoc m:val="undOvr"/>
                    <m:ctrlPr>
                      <w:rPr>
                        <w:rFonts w:ascii="Cambria Math" w:hAnsi="Cambria Math" w:cs="Arial"/>
                        <w:snapToGrid w:val="0"/>
                        <w:color w:val="0000FF"/>
                        <w:sz w:val="22"/>
                        <w:szCs w:val="22"/>
                      </w:rPr>
                    </m:ctrlPr>
                  </m:naryPr>
                  <m:sub>
                    <m:r>
                      <m:rPr>
                        <m:nor/>
                      </m:rPr>
                      <w:rPr>
                        <w:rFonts w:ascii="Arial" w:hAnsi="Arial" w:cs="Arial"/>
                        <w:snapToGrid w:val="0"/>
                        <w:color w:val="0000FF"/>
                        <w:sz w:val="22"/>
                        <w:szCs w:val="22"/>
                      </w:rPr>
                      <m:t>i</m:t>
                    </m:r>
                    <m:r>
                      <m:rPr>
                        <m:nor/>
                      </m:rPr>
                      <w:rPr>
                        <w:rFonts w:ascii="Cambria Math" w:hAnsi="Arial" w:cs="Arial"/>
                        <w:snapToGrid w:val="0"/>
                        <w:color w:val="0000FF"/>
                        <w:sz w:val="22"/>
                        <w:szCs w:val="22"/>
                      </w:rPr>
                      <m:t xml:space="preserve"> </m:t>
                    </m:r>
                    <m:r>
                      <m:rPr>
                        <m:nor/>
                      </m:rPr>
                      <w:rPr>
                        <w:rFonts w:ascii="Arial" w:hAnsi="Arial" w:cs="Arial"/>
                        <w:snapToGrid w:val="0"/>
                        <w:color w:val="0000FF"/>
                        <w:sz w:val="22"/>
                        <w:szCs w:val="22"/>
                      </w:rPr>
                      <m:t>=</m:t>
                    </m:r>
                    <m:r>
                      <m:rPr>
                        <m:nor/>
                      </m:rPr>
                      <w:rPr>
                        <w:rFonts w:ascii="Cambria Math" w:hAnsi="Arial" w:cs="Arial"/>
                        <w:snapToGrid w:val="0"/>
                        <w:color w:val="0000FF"/>
                        <w:sz w:val="22"/>
                        <w:szCs w:val="22"/>
                      </w:rPr>
                      <m:t xml:space="preserve"> </m:t>
                    </m:r>
                    <m:r>
                      <m:rPr>
                        <m:nor/>
                      </m:rPr>
                      <w:rPr>
                        <w:rFonts w:ascii="Arial" w:hAnsi="Arial" w:cs="Arial"/>
                        <w:snapToGrid w:val="0"/>
                        <w:color w:val="0000FF"/>
                        <w:sz w:val="22"/>
                        <w:szCs w:val="22"/>
                      </w:rPr>
                      <m:t>1</m:t>
                    </m:r>
                  </m:sub>
                  <m:sup>
                    <m:r>
                      <m:rPr>
                        <m:nor/>
                      </m:rPr>
                      <w:rPr>
                        <w:rFonts w:ascii="Arial" w:hAnsi="Arial" w:cs="Arial"/>
                        <w:snapToGrid w:val="0"/>
                        <w:color w:val="0000FF"/>
                        <w:sz w:val="22"/>
                        <w:szCs w:val="22"/>
                      </w:rPr>
                      <m:t>n</m:t>
                    </m:r>
                  </m:sup>
                  <m:e>
                    <m:sSup>
                      <m:sSupPr>
                        <m:ctrlPr>
                          <w:rPr>
                            <w:rFonts w:ascii="Cambria Math" w:hAnsi="Cambria Math" w:cs="Arial"/>
                            <w:snapToGrid w:val="0"/>
                            <w:color w:val="0000FF"/>
                            <w:sz w:val="22"/>
                            <w:szCs w:val="22"/>
                          </w:rPr>
                        </m:ctrlPr>
                      </m:sSupPr>
                      <m:e>
                        <m:r>
                          <m:rPr>
                            <m:nor/>
                          </m:rPr>
                          <w:rPr>
                            <w:rFonts w:ascii="Arial" w:hAnsi="Arial" w:cs="Arial"/>
                            <w:snapToGrid w:val="0"/>
                            <w:color w:val="0000FF"/>
                            <w:sz w:val="22"/>
                            <w:szCs w:val="22"/>
                          </w:rPr>
                          <m:t>10</m:t>
                        </m:r>
                      </m:e>
                      <m:sup>
                        <m:r>
                          <m:rPr>
                            <m:nor/>
                          </m:rPr>
                          <w:rPr>
                            <w:rFonts w:ascii="Arial" w:hAnsi="Arial" w:cs="Arial"/>
                            <w:snapToGrid w:val="0"/>
                            <w:color w:val="0000FF"/>
                            <w:sz w:val="22"/>
                            <w:szCs w:val="22"/>
                          </w:rPr>
                          <m:t>0.1Lp</m:t>
                        </m:r>
                        <m:sSub>
                          <m:sSubPr>
                            <m:ctrlPr>
                              <w:rPr>
                                <w:rFonts w:ascii="Cambria Math" w:hAnsi="Cambria Math" w:cs="Arial"/>
                                <w:snapToGrid w:val="0"/>
                                <w:color w:val="0000FF"/>
                                <w:sz w:val="22"/>
                                <w:szCs w:val="22"/>
                              </w:rPr>
                            </m:ctrlPr>
                          </m:sSubPr>
                          <m:e>
                            <m:r>
                              <m:rPr>
                                <m:nor/>
                              </m:rPr>
                              <w:rPr>
                                <w:rFonts w:ascii="Arial" w:hAnsi="Arial" w:cs="Arial"/>
                                <w:snapToGrid w:val="0"/>
                                <w:color w:val="0000FF"/>
                                <w:sz w:val="22"/>
                                <w:szCs w:val="22"/>
                              </w:rPr>
                              <m:t>A</m:t>
                            </m:r>
                          </m:e>
                          <m:sub>
                            <m:r>
                              <m:rPr>
                                <m:nor/>
                              </m:rPr>
                              <w:rPr>
                                <w:rFonts w:ascii="Arial" w:hAnsi="Arial" w:cs="Arial"/>
                                <w:snapToGrid w:val="0"/>
                                <w:color w:val="0000FF"/>
                                <w:sz w:val="22"/>
                                <w:szCs w:val="22"/>
                              </w:rPr>
                              <m:t>i</m:t>
                            </m:r>
                          </m:sub>
                        </m:sSub>
                      </m:sup>
                    </m:sSup>
                  </m:e>
                </m:nary>
              </m:oMath>
            </m:oMathPara>
          </w:p>
          <w:p w:rsidR="00EF4EC1" w:rsidRPr="00041731" w:rsidRDefault="00EF4EC1" w:rsidP="00EF4EC1">
            <w:pPr>
              <w:pStyle w:val="Slide3"/>
              <w:rPr>
                <w:color w:val="0000FF"/>
              </w:rPr>
            </w:pPr>
            <w:r w:rsidRPr="00041731">
              <w:rPr>
                <w:color w:val="0000FF"/>
              </w:rPr>
              <w:t>where:</w:t>
            </w:r>
          </w:p>
          <w:p w:rsidR="00EF4EC1" w:rsidRPr="00041731" w:rsidRDefault="00EF4EC1" w:rsidP="00EF4EC1">
            <w:pPr>
              <w:pStyle w:val="Slide3"/>
              <w:tabs>
                <w:tab w:val="clear" w:pos="1021"/>
                <w:tab w:val="right" w:pos="1134"/>
              </w:tabs>
              <w:ind w:left="1276" w:hanging="709"/>
              <w:rPr>
                <w:color w:val="0000FF"/>
              </w:rPr>
            </w:pPr>
            <w:r w:rsidRPr="00041731">
              <w:rPr>
                <w:color w:val="0000FF"/>
              </w:rPr>
              <w:t>LpA</w:t>
            </w:r>
            <w:r w:rsidRPr="00041731">
              <w:rPr>
                <w:color w:val="0000FF"/>
              </w:rPr>
              <w:tab/>
              <w:t>=</w:t>
            </w:r>
            <w:r w:rsidRPr="00041731">
              <w:rPr>
                <w:color w:val="0000FF"/>
              </w:rPr>
              <w:tab/>
              <w:t>A</w:t>
            </w:r>
            <w:r>
              <w:rPr>
                <w:color w:val="0000FF"/>
              </w:rPr>
              <w:noBreakHyphen/>
            </w:r>
            <w:r w:rsidRPr="00041731">
              <w:rPr>
                <w:color w:val="0000FF"/>
              </w:rPr>
              <w:t>weighted sound pressure level</w:t>
            </w:r>
          </w:p>
          <w:p w:rsidR="00EF4EC1" w:rsidRPr="00041731" w:rsidRDefault="00EF4EC1" w:rsidP="00EF4EC1">
            <w:pPr>
              <w:pStyle w:val="Slide3"/>
              <w:tabs>
                <w:tab w:val="clear" w:pos="1021"/>
                <w:tab w:val="right" w:pos="1134"/>
              </w:tabs>
              <w:ind w:left="1276" w:hanging="709"/>
              <w:rPr>
                <w:color w:val="0000FF"/>
              </w:rPr>
            </w:pPr>
            <w:r w:rsidRPr="00041731">
              <w:rPr>
                <w:color w:val="0000FF"/>
              </w:rPr>
              <w:t>LpA</w:t>
            </w:r>
            <w:r w:rsidRPr="00041731">
              <w:rPr>
                <w:color w:val="0000FF"/>
                <w:vertAlign w:val="subscript"/>
              </w:rPr>
              <w:t>i</w:t>
            </w:r>
            <w:r w:rsidRPr="00041731">
              <w:rPr>
                <w:color w:val="0000FF"/>
              </w:rPr>
              <w:tab/>
              <w:t>=</w:t>
            </w:r>
            <w:r w:rsidRPr="00041731">
              <w:rPr>
                <w:color w:val="0000FF"/>
              </w:rPr>
              <w:tab/>
              <w:t>A</w:t>
            </w:r>
            <w:r>
              <w:rPr>
                <w:color w:val="0000FF"/>
              </w:rPr>
              <w:noBreakHyphen/>
            </w:r>
            <w:r w:rsidRPr="00041731">
              <w:rPr>
                <w:color w:val="0000FF"/>
              </w:rPr>
              <w:t>weighted sound pressure level at the i</w:t>
            </w:r>
            <w:r>
              <w:rPr>
                <w:color w:val="0000FF"/>
              </w:rPr>
              <w:noBreakHyphen/>
            </w:r>
            <w:r w:rsidRPr="00041731">
              <w:rPr>
                <w:color w:val="0000FF"/>
              </w:rPr>
              <w:t>th measured position, in decibels</w:t>
            </w:r>
          </w:p>
          <w:p w:rsidR="00EF4EC1" w:rsidRPr="00041731" w:rsidRDefault="00EF4EC1" w:rsidP="00EF4EC1">
            <w:pPr>
              <w:pStyle w:val="Slide3"/>
              <w:tabs>
                <w:tab w:val="clear" w:pos="1021"/>
                <w:tab w:val="right" w:pos="1134"/>
              </w:tabs>
              <w:ind w:left="1276" w:hanging="709"/>
              <w:rPr>
                <w:color w:val="0000FF"/>
              </w:rPr>
            </w:pPr>
            <w:r>
              <w:rPr>
                <w:color w:val="0000FF"/>
              </w:rPr>
              <w:t>n</w:t>
            </w:r>
            <w:r w:rsidRPr="00041731">
              <w:rPr>
                <w:color w:val="0000FF"/>
              </w:rPr>
              <w:tab/>
              <w:t>=</w:t>
            </w:r>
            <w:r w:rsidRPr="00041731">
              <w:rPr>
                <w:color w:val="0000FF"/>
              </w:rPr>
              <w:tab/>
              <w:t>total number of measured points</w:t>
            </w:r>
          </w:p>
        </w:tc>
      </w:tr>
    </w:tbl>
    <w:p w:rsidR="00EF4EC1" w:rsidRPr="00616683" w:rsidRDefault="00EF4EC1" w:rsidP="00EF4EC1">
      <w:pPr>
        <w:pStyle w:val="Slidelabel"/>
      </w:pPr>
      <w:bookmarkStart w:id="93" w:name="_Ref475691988"/>
      <w:r w:rsidRPr="00616683">
        <w:t>Calculation involving statistical functions</w:t>
      </w:r>
      <w:bookmarkEnd w:id="93"/>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Tr="00EF4EC1">
        <w:tc>
          <w:tcPr>
            <w:tcW w:w="8504" w:type="dxa"/>
            <w:shd w:val="clear" w:color="auto" w:fill="FFFFFF"/>
          </w:tcPr>
          <w:p w:rsidR="00EF4EC1" w:rsidRPr="00041731" w:rsidRDefault="00EF4EC1" w:rsidP="00EF4EC1">
            <w:pPr>
              <w:pStyle w:val="Slide1"/>
              <w:rPr>
                <w:color w:val="0000FF"/>
              </w:rPr>
            </w:pPr>
            <w:r>
              <w:rPr>
                <w:color w:val="0000FF"/>
              </w:rPr>
              <w:t>2</w:t>
            </w:r>
            <w:r w:rsidRPr="00041731">
              <w:rPr>
                <w:color w:val="0000FF"/>
              </w:rPr>
              <w:tab/>
              <w:t>Conditions on registration of irradiating apparatus</w:t>
            </w:r>
          </w:p>
          <w:p w:rsidR="00EF4EC1" w:rsidRPr="00041731" w:rsidRDefault="00EF4EC1" w:rsidP="00EF4EC1">
            <w:pPr>
              <w:pStyle w:val="Slide2"/>
              <w:rPr>
                <w:color w:val="0000FF"/>
              </w:rPr>
            </w:pPr>
            <w:r w:rsidRPr="00041731">
              <w:rPr>
                <w:color w:val="0000FF"/>
              </w:rPr>
              <w:tab/>
              <w:t>In clause 1, the coefficient of variation means the ratio of the standard deviation to the mean value of a series of measurements calculated as follows:</w:t>
            </w:r>
          </w:p>
          <w:p w:rsidR="00EF4EC1" w:rsidRPr="000616A2" w:rsidRDefault="00EF4EC1" w:rsidP="00EF4EC1">
            <w:pPr>
              <w:pStyle w:val="SlideEquation"/>
              <w:rPr>
                <w:color w:val="0000FF"/>
                <w:oMath/>
              </w:rPr>
            </w:pPr>
            <m:oMathPara>
              <m:oMathParaPr>
                <m:jc m:val="left"/>
              </m:oMathParaPr>
              <m:oMath>
                <m:r>
                  <m:rPr>
                    <m:nor/>
                  </m:rPr>
                  <w:rPr>
                    <w:color w:val="0000FF"/>
                  </w:rPr>
                  <m:t xml:space="preserve">c = </m:t>
                </m:r>
                <m:f>
                  <m:fPr>
                    <m:ctrlPr>
                      <w:rPr>
                        <w:rFonts w:ascii="Cambria Math" w:hAnsi="Cambria Math"/>
                        <w:color w:val="0000FF"/>
                      </w:rPr>
                    </m:ctrlPr>
                  </m:fPr>
                  <m:num>
                    <m:r>
                      <m:rPr>
                        <m:nor/>
                      </m:rPr>
                      <w:rPr>
                        <w:color w:val="0000FF"/>
                      </w:rPr>
                      <m:t>s</m:t>
                    </m:r>
                  </m:num>
                  <m:den>
                    <m:acc>
                      <m:accPr>
                        <m:chr m:val="̅"/>
                        <m:ctrlPr>
                          <w:rPr>
                            <w:rFonts w:ascii="Cambria Math" w:hAnsi="Cambria Math"/>
                            <w:color w:val="0000FF"/>
                          </w:rPr>
                        </m:ctrlPr>
                      </m:accPr>
                      <m:e>
                        <m:r>
                          <m:rPr>
                            <m:nor/>
                          </m:rPr>
                          <w:rPr>
                            <w:color w:val="0000FF"/>
                          </w:rPr>
                          <m:t>x</m:t>
                        </m:r>
                      </m:e>
                    </m:acc>
                  </m:den>
                </m:f>
                <m:r>
                  <m:rPr>
                    <m:nor/>
                  </m:rPr>
                  <w:rPr>
                    <w:color w:val="0000FF"/>
                  </w:rPr>
                  <m:t xml:space="preserve"> = </m:t>
                </m:r>
                <m:f>
                  <m:fPr>
                    <m:ctrlPr>
                      <w:rPr>
                        <w:rFonts w:ascii="Cambria Math" w:hAnsi="Cambria Math"/>
                        <w:color w:val="0000FF"/>
                      </w:rPr>
                    </m:ctrlPr>
                  </m:fPr>
                  <m:num>
                    <m:r>
                      <m:rPr>
                        <m:nor/>
                      </m:rPr>
                      <w:rPr>
                        <w:color w:val="0000FF"/>
                      </w:rPr>
                      <m:t>1</m:t>
                    </m:r>
                  </m:num>
                  <m:den>
                    <m:acc>
                      <m:accPr>
                        <m:chr m:val="̅"/>
                        <m:ctrlPr>
                          <w:rPr>
                            <w:rFonts w:ascii="Cambria Math" w:hAnsi="Cambria Math"/>
                            <w:color w:val="0000FF"/>
                          </w:rPr>
                        </m:ctrlPr>
                      </m:accPr>
                      <m:e>
                        <m:r>
                          <m:rPr>
                            <m:nor/>
                          </m:rPr>
                          <w:rPr>
                            <w:color w:val="0000FF"/>
                          </w:rPr>
                          <m:t>x</m:t>
                        </m:r>
                      </m:e>
                    </m:acc>
                  </m:den>
                </m:f>
                <m:r>
                  <m:rPr>
                    <m:nor/>
                  </m:rPr>
                  <w:rPr>
                    <w:color w:val="0000FF"/>
                  </w:rPr>
                  <m:t xml:space="preserve"> </m:t>
                </m:r>
                <m:sSup>
                  <m:sSupPr>
                    <m:ctrlPr>
                      <w:rPr>
                        <w:rFonts w:ascii="Cambria Math" w:hAnsi="Cambria Math"/>
                        <w:color w:val="0000FF"/>
                      </w:rPr>
                    </m:ctrlPr>
                  </m:sSupPr>
                  <m:e>
                    <m:d>
                      <m:dPr>
                        <m:begChr m:val="["/>
                        <m:endChr m:val="]"/>
                        <m:ctrlPr>
                          <w:rPr>
                            <w:rFonts w:ascii="Cambria Math" w:hAnsi="Cambria Math"/>
                            <w:color w:val="0000FF"/>
                          </w:rPr>
                        </m:ctrlPr>
                      </m:dPr>
                      <m:e>
                        <m:f>
                          <m:fPr>
                            <m:ctrlPr>
                              <w:rPr>
                                <w:rFonts w:ascii="Cambria Math" w:hAnsi="Cambria Math"/>
                                <w:color w:val="0000FF"/>
                              </w:rPr>
                            </m:ctrlPr>
                          </m:fPr>
                          <m:num>
                            <m:nary>
                              <m:naryPr>
                                <m:chr m:val="∑"/>
                                <m:limLoc m:val="undOvr"/>
                                <m:ctrlPr>
                                  <w:rPr>
                                    <w:rFonts w:ascii="Cambria Math" w:hAnsi="Cambria Math"/>
                                    <w:i/>
                                    <w:color w:val="0000FF"/>
                                  </w:rPr>
                                </m:ctrlPr>
                              </m:naryPr>
                              <m:sub>
                                <m:r>
                                  <m:rPr>
                                    <m:nor/>
                                  </m:rPr>
                                  <w:rPr>
                                    <w:rFonts w:ascii="Cambria Math"/>
                                    <w:color w:val="0000FF"/>
                                  </w:rPr>
                                  <m:t xml:space="preserve"> </m:t>
                                </m:r>
                                <m:r>
                                  <m:rPr>
                                    <m:nor/>
                                  </m:rPr>
                                  <w:rPr>
                                    <w:color w:val="0000FF"/>
                                  </w:rPr>
                                  <m:t xml:space="preserve"> i = 1</m:t>
                                </m:r>
                              </m:sub>
                              <m:sup>
                                <m:r>
                                  <m:rPr>
                                    <m:nor/>
                                  </m:rPr>
                                  <w:rPr>
                                    <w:rFonts w:ascii="Cambria Math"/>
                                    <w:color w:val="0000FF"/>
                                  </w:rPr>
                                  <m:t xml:space="preserve"> </m:t>
                                </m:r>
                                <m:r>
                                  <m:rPr>
                                    <m:nor/>
                                  </m:rPr>
                                  <w:rPr>
                                    <w:color w:val="0000FF"/>
                                  </w:rPr>
                                  <m:t>n</m:t>
                                </m:r>
                              </m:sup>
                              <m:e>
                                <m:sSup>
                                  <m:sSupPr>
                                    <m:ctrlPr>
                                      <w:rPr>
                                        <w:rFonts w:ascii="Cambria Math" w:hAnsi="Cambria Math"/>
                                        <w:color w:val="0000FF"/>
                                      </w:rPr>
                                    </m:ctrlPr>
                                  </m:sSupPr>
                                  <m:e>
                                    <m:r>
                                      <m:rPr>
                                        <m:nor/>
                                      </m:rPr>
                                      <w:rPr>
                                        <w:color w:val="0000FF"/>
                                      </w:rPr>
                                      <m:t xml:space="preserve"> </m:t>
                                    </m:r>
                                    <m:d>
                                      <m:dPr>
                                        <m:ctrlPr>
                                          <w:rPr>
                                            <w:rFonts w:ascii="Cambria Math" w:hAnsi="Cambria Math"/>
                                            <w:color w:val="0000FF"/>
                                          </w:rPr>
                                        </m:ctrlPr>
                                      </m:dPr>
                                      <m:e>
                                        <m:sSub>
                                          <m:sSubPr>
                                            <m:ctrlPr>
                                              <w:rPr>
                                                <w:rFonts w:ascii="Cambria Math" w:hAnsi="Cambria Math"/>
                                                <w:color w:val="0000FF"/>
                                              </w:rPr>
                                            </m:ctrlPr>
                                          </m:sSubPr>
                                          <m:e>
                                            <m:r>
                                              <m:rPr>
                                                <m:nor/>
                                              </m:rPr>
                                              <w:rPr>
                                                <w:color w:val="0000FF"/>
                                              </w:rPr>
                                              <m:t>x</m:t>
                                            </m:r>
                                          </m:e>
                                          <m:sub>
                                            <m:r>
                                              <m:rPr>
                                                <m:nor/>
                                              </m:rPr>
                                              <w:rPr>
                                                <w:color w:val="0000FF"/>
                                              </w:rPr>
                                              <m:t>i</m:t>
                                            </m:r>
                                          </m:sub>
                                        </m:sSub>
                                        <m:r>
                                          <w:rPr>
                                            <w:rFonts w:ascii="Cambria Math" w:hAnsi="Cambria Math"/>
                                            <w:color w:val="0000FF"/>
                                          </w:rPr>
                                          <m:t>-</m:t>
                                        </m:r>
                                        <m:acc>
                                          <m:accPr>
                                            <m:chr m:val="̅"/>
                                            <m:ctrlPr>
                                              <w:rPr>
                                                <w:rFonts w:ascii="Cambria Math" w:hAnsi="Cambria Math"/>
                                                <w:color w:val="0000FF"/>
                                              </w:rPr>
                                            </m:ctrlPr>
                                          </m:accPr>
                                          <m:e>
                                            <m:r>
                                              <m:rPr>
                                                <m:nor/>
                                              </m:rPr>
                                              <w:rPr>
                                                <w:color w:val="0000FF"/>
                                              </w:rPr>
                                              <m:t xml:space="preserve">x </m:t>
                                            </m:r>
                                          </m:e>
                                        </m:acc>
                                      </m:e>
                                    </m:d>
                                  </m:e>
                                  <m:sup>
                                    <m:r>
                                      <m:rPr>
                                        <m:nor/>
                                      </m:rPr>
                                      <w:rPr>
                                        <w:color w:val="0000FF"/>
                                      </w:rPr>
                                      <m:t>2</m:t>
                                    </m:r>
                                  </m:sup>
                                </m:sSup>
                                <m:r>
                                  <m:rPr>
                                    <m:nor/>
                                  </m:rPr>
                                  <w:rPr>
                                    <w:color w:val="0000FF"/>
                                  </w:rPr>
                                  <m:t xml:space="preserve"> </m:t>
                                </m:r>
                              </m:e>
                            </m:nary>
                          </m:num>
                          <m:den>
                            <m:r>
                              <m:rPr>
                                <m:nor/>
                              </m:rPr>
                              <w:rPr>
                                <w:color w:val="0000FF"/>
                              </w:rPr>
                              <m:t>n</m:t>
                            </m:r>
                            <m:r>
                              <m:rPr>
                                <m:sty m:val="p"/>
                              </m:rPr>
                              <w:rPr>
                                <w:rFonts w:ascii="Cambria Math" w:hAnsi="Cambria Math"/>
                                <w:color w:val="0000FF"/>
                              </w:rPr>
                              <m:t>-</m:t>
                            </m:r>
                            <m:r>
                              <m:rPr>
                                <m:nor/>
                              </m:rPr>
                              <w:rPr>
                                <w:color w:val="0000FF"/>
                              </w:rPr>
                              <m:t xml:space="preserve">1 </m:t>
                            </m:r>
                          </m:den>
                        </m:f>
                      </m:e>
                    </m:d>
                  </m:e>
                  <m:sup>
                    <m:r>
                      <m:rPr>
                        <m:nor/>
                      </m:rPr>
                      <w:rPr>
                        <w:color w:val="0000FF"/>
                      </w:rPr>
                      <m:t xml:space="preserve"> </m:t>
                    </m:r>
                    <m:f>
                      <m:fPr>
                        <m:ctrlPr>
                          <w:rPr>
                            <w:rFonts w:ascii="Cambria Math" w:hAnsi="Cambria Math"/>
                            <w:color w:val="0000FF"/>
                          </w:rPr>
                        </m:ctrlPr>
                      </m:fPr>
                      <m:num>
                        <m:r>
                          <m:rPr>
                            <m:nor/>
                          </m:rPr>
                          <w:rPr>
                            <w:color w:val="0000FF"/>
                          </w:rPr>
                          <m:t>1</m:t>
                        </m:r>
                      </m:num>
                      <m:den>
                        <m:r>
                          <m:rPr>
                            <m:nor/>
                          </m:rPr>
                          <w:rPr>
                            <w:color w:val="0000FF"/>
                          </w:rPr>
                          <m:t>2</m:t>
                        </m:r>
                      </m:den>
                    </m:f>
                  </m:sup>
                </m:sSup>
              </m:oMath>
            </m:oMathPara>
          </w:p>
          <w:p w:rsidR="00EF4EC1" w:rsidRPr="00041731" w:rsidRDefault="00EF4EC1" w:rsidP="00EF4EC1">
            <w:pPr>
              <w:pStyle w:val="SlideEquation"/>
              <w:rPr>
                <w:color w:val="0000FF"/>
              </w:rPr>
            </w:pPr>
            <w:r w:rsidRPr="00041731">
              <w:rPr>
                <w:color w:val="0000FF"/>
              </w:rPr>
              <w:t>where:</w:t>
            </w:r>
          </w:p>
          <w:p w:rsidR="00EF4EC1" w:rsidRPr="00041731" w:rsidRDefault="00EF4EC1" w:rsidP="00EF4EC1">
            <w:pPr>
              <w:pStyle w:val="Slide3"/>
              <w:rPr>
                <w:color w:val="0000FF"/>
              </w:rPr>
            </w:pPr>
            <w:r w:rsidRPr="00041731">
              <w:rPr>
                <w:color w:val="0000FF"/>
              </w:rPr>
              <w:t>c</w:t>
            </w:r>
            <w:r w:rsidRPr="00041731">
              <w:rPr>
                <w:color w:val="0000FF"/>
              </w:rPr>
              <w:tab/>
              <w:t>=</w:t>
            </w:r>
            <w:r w:rsidRPr="00041731">
              <w:rPr>
                <w:color w:val="0000FF"/>
              </w:rPr>
              <w:tab/>
              <w:t xml:space="preserve">coefficient of variation </w:t>
            </w:r>
          </w:p>
          <w:p w:rsidR="00EF4EC1" w:rsidRPr="00041731" w:rsidRDefault="00EF4EC1" w:rsidP="00EF4EC1">
            <w:pPr>
              <w:pStyle w:val="Slide3"/>
              <w:rPr>
                <w:color w:val="0000FF"/>
              </w:rPr>
            </w:pPr>
            <w:r w:rsidRPr="00041731">
              <w:rPr>
                <w:color w:val="0000FF"/>
              </w:rPr>
              <w:t>s</w:t>
            </w:r>
            <w:r w:rsidRPr="00041731">
              <w:rPr>
                <w:color w:val="0000FF"/>
              </w:rPr>
              <w:tab/>
              <w:t>=</w:t>
            </w:r>
            <w:r w:rsidRPr="00041731">
              <w:rPr>
                <w:color w:val="0000FF"/>
              </w:rPr>
              <w:tab/>
              <w:t>estimated standard deviation</w:t>
            </w:r>
          </w:p>
          <w:p w:rsidR="00EF4EC1" w:rsidRPr="00041731" w:rsidRDefault="00D22D1E" w:rsidP="00EF4EC1">
            <w:pPr>
              <w:pStyle w:val="Slide3"/>
              <w:rPr>
                <w:color w:val="0000FF"/>
              </w:rPr>
            </w:pPr>
            <m:oMath>
              <m:acc>
                <m:accPr>
                  <m:chr m:val="̅"/>
                  <m:ctrlPr>
                    <w:rPr>
                      <w:rFonts w:ascii="Cambria Math" w:hAnsi="Cambria Math"/>
                      <w:i/>
                      <w:color w:val="0000FF"/>
                    </w:rPr>
                  </m:ctrlPr>
                </m:accPr>
                <m:e>
                  <m:r>
                    <m:rPr>
                      <m:nor/>
                    </m:rPr>
                    <w:rPr>
                      <w:color w:val="0000FF"/>
                    </w:rPr>
                    <m:t>x</m:t>
                  </m:r>
                </m:e>
              </m:acc>
            </m:oMath>
            <w:r w:rsidR="00EF4EC1" w:rsidRPr="00041731">
              <w:rPr>
                <w:color w:val="0000FF"/>
              </w:rPr>
              <w:tab/>
              <w:t>=</w:t>
            </w:r>
            <w:r w:rsidR="00EF4EC1" w:rsidRPr="00041731">
              <w:rPr>
                <w:color w:val="0000FF"/>
              </w:rPr>
              <w:tab/>
              <w:t>mean value of measurements</w:t>
            </w:r>
          </w:p>
          <w:p w:rsidR="00EF4EC1" w:rsidRDefault="00EF4EC1" w:rsidP="00EF4EC1">
            <w:pPr>
              <w:pStyle w:val="Slide3"/>
              <w:rPr>
                <w:color w:val="0000FF"/>
              </w:rPr>
            </w:pPr>
            <w:r w:rsidRPr="00041731">
              <w:rPr>
                <w:color w:val="0000FF"/>
              </w:rPr>
              <w:t>n</w:t>
            </w:r>
            <w:r w:rsidRPr="00041731">
              <w:rPr>
                <w:color w:val="0000FF"/>
              </w:rPr>
              <w:tab/>
              <w:t>=</w:t>
            </w:r>
            <w:r w:rsidRPr="00041731">
              <w:rPr>
                <w:color w:val="0000FF"/>
              </w:rPr>
              <w:tab/>
              <w:t xml:space="preserve">number of measurements </w:t>
            </w:r>
          </w:p>
          <w:p w:rsidR="00EF4EC1" w:rsidRPr="00041731" w:rsidRDefault="00EF4EC1" w:rsidP="00EF4EC1">
            <w:pPr>
              <w:pStyle w:val="Slide3"/>
              <w:rPr>
                <w:color w:val="0000FF"/>
              </w:rPr>
            </w:pPr>
            <w:r w:rsidRPr="00041731">
              <w:rPr>
                <w:color w:val="0000FF"/>
              </w:rPr>
              <w:t>x</w:t>
            </w:r>
            <w:r w:rsidRPr="00041731">
              <w:rPr>
                <w:color w:val="0000FF"/>
                <w:vertAlign w:val="subscript"/>
              </w:rPr>
              <w:t>i</w:t>
            </w:r>
            <w:r w:rsidRPr="00041731">
              <w:rPr>
                <w:color w:val="0000FF"/>
              </w:rPr>
              <w:tab/>
              <w:t>=</w:t>
            </w:r>
            <w:r w:rsidRPr="00041731">
              <w:rPr>
                <w:color w:val="0000FF"/>
              </w:rPr>
              <w:tab/>
              <w:t>i</w:t>
            </w:r>
            <w:r>
              <w:rPr>
                <w:color w:val="0000FF"/>
              </w:rPr>
              <w:noBreakHyphen/>
            </w:r>
            <w:r w:rsidRPr="00041731">
              <w:rPr>
                <w:color w:val="0000FF"/>
              </w:rPr>
              <w:t>th measurement</w:t>
            </w:r>
            <w:r>
              <w:rPr>
                <w:color w:val="0000FF"/>
              </w:rPr>
              <w:t xml:space="preserve">. </w:t>
            </w:r>
          </w:p>
        </w:tc>
      </w:tr>
    </w:tbl>
    <w:p w:rsidR="00EF4EC1" w:rsidRDefault="00EF4EC1" w:rsidP="00EF4EC1">
      <w:pPr>
        <w:pStyle w:val="Slidelabel"/>
        <w:numPr>
          <w:ilvl w:val="0"/>
          <w:numId w:val="0"/>
        </w:numPr>
        <w:ind w:left="567"/>
        <w:rPr>
          <w:rFonts w:cs="Times New Roman"/>
          <w:highlight w:val="lightGray"/>
          <w14:scene3d>
            <w14:camera w14:prst="orthographicFront"/>
            <w14:lightRig w14:rig="threePt" w14:dir="t">
              <w14:rot w14:lat="0" w14:lon="0" w14:rev="0"/>
            </w14:lightRig>
          </w14:scene3d>
        </w:rPr>
      </w:pPr>
      <w:bookmarkStart w:id="94" w:name="_Ref476126435"/>
    </w:p>
    <w:p w:rsidR="00EF4EC1" w:rsidRDefault="00EF4EC1" w:rsidP="00EF4EC1">
      <w:pPr>
        <w:rPr>
          <w:rFonts w:ascii="Arial" w:hAnsi="Arial"/>
          <w:sz w:val="22"/>
          <w:szCs w:val="20"/>
          <w:highlight w:val="lightGray"/>
          <w:lang w:val="en-AU"/>
          <w14:scene3d>
            <w14:camera w14:prst="orthographicFront"/>
            <w14:lightRig w14:rig="threePt" w14:dir="t">
              <w14:rot w14:lat="0" w14:lon="0" w14:rev="0"/>
            </w14:lightRig>
          </w14:scene3d>
        </w:rPr>
      </w:pPr>
      <w:r>
        <w:rPr>
          <w:highlight w:val="lightGray"/>
          <w14:scene3d>
            <w14:camera w14:prst="orthographicFront"/>
            <w14:lightRig w14:rig="threePt" w14:dir="t">
              <w14:rot w14:lat="0" w14:lon="0" w14:rev="0"/>
            </w14:lightRig>
          </w14:scene3d>
        </w:rPr>
        <w:br w:type="page"/>
      </w:r>
    </w:p>
    <w:p w:rsidR="00EF4EC1" w:rsidRPr="00EF4EC1" w:rsidRDefault="00EF4EC1" w:rsidP="00EF4EC1">
      <w:pPr>
        <w:pStyle w:val="Slidelabel"/>
      </w:pPr>
      <w:r w:rsidRPr="00EF4EC1">
        <w:lastRenderedPageBreak/>
        <w:t>Calculation involving trigonometry</w:t>
      </w:r>
      <w:bookmarkEnd w:id="94"/>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Tr="00EF4EC1">
        <w:tc>
          <w:tcPr>
            <w:tcW w:w="8504" w:type="dxa"/>
            <w:shd w:val="clear" w:color="auto" w:fill="FFFFFF"/>
          </w:tcPr>
          <w:p w:rsidR="00EF4EC1" w:rsidRPr="00041731" w:rsidRDefault="00EF4EC1" w:rsidP="00EF4EC1">
            <w:pPr>
              <w:pStyle w:val="Slide1"/>
              <w:keepNext w:val="0"/>
              <w:rPr>
                <w:rStyle w:val="apple-converted-space"/>
                <w:b w:val="0"/>
                <w:bCs/>
                <w:color w:val="0000FF"/>
                <w:lang w:val="en-AU"/>
              </w:rPr>
            </w:pPr>
            <w:r w:rsidRPr="00041731">
              <w:rPr>
                <w:color w:val="0000FF"/>
              </w:rPr>
              <w:t>8</w:t>
            </w:r>
            <w:r w:rsidRPr="00041731">
              <w:rPr>
                <w:color w:val="0000FF"/>
              </w:rPr>
              <w:tab/>
              <w:t>Parallel Runways – Sidestep Procedures</w:t>
            </w:r>
          </w:p>
          <w:p w:rsidR="00EF4EC1" w:rsidRPr="00041731" w:rsidRDefault="00EF4EC1" w:rsidP="00EF4EC1">
            <w:pPr>
              <w:pStyle w:val="Slide2"/>
              <w:rPr>
                <w:color w:val="0000FF"/>
              </w:rPr>
            </w:pPr>
            <w:r w:rsidRPr="00041731">
              <w:rPr>
                <w:color w:val="0000FF"/>
              </w:rPr>
              <w:tab/>
              <w:t>Sidestep procedures shall have a visual segment ceiling not less than that derived from the following formula:</w:t>
            </w:r>
          </w:p>
          <w:p w:rsidR="00EF4EC1" w:rsidRPr="00041731" w:rsidRDefault="00EF4EC1" w:rsidP="00EF4EC1">
            <w:pPr>
              <w:pStyle w:val="SlideEquation"/>
              <w:rPr>
                <w:color w:val="0000FF"/>
                <w:oMath/>
              </w:rPr>
            </w:pPr>
            <m:oMathPara>
              <m:oMathParaPr>
                <m:jc m:val="left"/>
              </m:oMathParaPr>
              <m:oMath>
                <m:r>
                  <m:rPr>
                    <m:nor/>
                  </m:rPr>
                  <w:rPr>
                    <w:color w:val="0000FF"/>
                  </w:rPr>
                  <m:t>v</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x</m:t>
                </m:r>
                <m:r>
                  <m:rPr>
                    <m:nor/>
                  </m:rPr>
                  <w:rPr>
                    <w:rFonts w:ascii="Cambria Math"/>
                    <w:color w:val="0000FF"/>
                  </w:rPr>
                  <m:t xml:space="preserve"> </m:t>
                </m:r>
                <m:r>
                  <m:rPr>
                    <m:nor/>
                  </m:rPr>
                  <w:rPr>
                    <w:rFonts w:ascii="Cambria Math" w:hAnsi="Cambria Math"/>
                    <w:color w:val="0000FF"/>
                  </w:rPr>
                  <m:t xml:space="preserve">+ </m:t>
                </m:r>
                <m:f>
                  <m:fPr>
                    <m:ctrlPr>
                      <w:rPr>
                        <w:rFonts w:ascii="Cambria Math" w:hAnsi="Cambria Math"/>
                        <w:i/>
                        <w:color w:val="0000FF"/>
                      </w:rPr>
                    </m:ctrlPr>
                  </m:fPr>
                  <m:num>
                    <m:r>
                      <m:rPr>
                        <m:nor/>
                      </m:rPr>
                      <w:rPr>
                        <w:color w:val="0000FF"/>
                      </w:rPr>
                      <m:t>d</m:t>
                    </m:r>
                  </m:num>
                  <m:den>
                    <m:func>
                      <m:funcPr>
                        <m:ctrlPr>
                          <w:rPr>
                            <w:rFonts w:ascii="Cambria Math" w:hAnsi="Cambria Math"/>
                            <w:i/>
                            <w:color w:val="0000FF"/>
                          </w:rPr>
                        </m:ctrlPr>
                      </m:funcPr>
                      <m:fName>
                        <m:r>
                          <m:rPr>
                            <m:nor/>
                          </m:rPr>
                          <w:rPr>
                            <w:color w:val="0000FF"/>
                          </w:rPr>
                          <m:t>cos</m:t>
                        </m:r>
                      </m:fName>
                      <m:e>
                        <m:r>
                          <m:rPr>
                            <m:nor/>
                          </m:rPr>
                          <w:rPr>
                            <w:color w:val="0000FF"/>
                          </w:rPr>
                          <m:t>30°</m:t>
                        </m:r>
                      </m:e>
                    </m:func>
                  </m:den>
                </m:f>
                <m:r>
                  <m:rPr>
                    <m:nor/>
                  </m:rPr>
                  <w:rPr>
                    <w:rFonts w:ascii="Cambria Math"/>
                    <w:color w:val="0000FF"/>
                  </w:rPr>
                  <m:t xml:space="preserve"> </m:t>
                </m:r>
                <m:r>
                  <m:rPr>
                    <m:nor/>
                  </m:rPr>
                  <w:rPr>
                    <w:color w:val="0000FF"/>
                  </w:rPr>
                  <m:t>318.4</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f</m:t>
                </m:r>
                <m:r>
                  <m:rPr>
                    <m:nor/>
                  </m:rPr>
                  <w:rPr>
                    <w:rFonts w:ascii="Cambria Math"/>
                    <w:color w:val="0000FF"/>
                  </w:rPr>
                  <m:t xml:space="preserve"> </m:t>
                </m:r>
              </m:oMath>
            </m:oMathPara>
          </w:p>
          <w:p w:rsidR="00EF4EC1" w:rsidRPr="00041731" w:rsidRDefault="00EF4EC1" w:rsidP="00EF4EC1">
            <w:pPr>
              <w:pStyle w:val="Slide3"/>
              <w:rPr>
                <w:color w:val="0000FF"/>
              </w:rPr>
            </w:pPr>
            <w:r w:rsidRPr="00041731">
              <w:rPr>
                <w:color w:val="0000FF"/>
              </w:rPr>
              <w:t>where:</w:t>
            </w:r>
          </w:p>
          <w:p w:rsidR="00EF4EC1" w:rsidRPr="00041731" w:rsidRDefault="00EF4EC1" w:rsidP="00EF4EC1">
            <w:pPr>
              <w:pStyle w:val="Slide3"/>
              <w:rPr>
                <w:color w:val="0000FF"/>
              </w:rPr>
            </w:pPr>
            <w:r w:rsidRPr="00041731">
              <w:rPr>
                <w:color w:val="0000FF"/>
              </w:rPr>
              <w:t>v</w:t>
            </w:r>
            <w:r w:rsidRPr="00041731">
              <w:rPr>
                <w:color w:val="0000FF"/>
              </w:rPr>
              <w:tab/>
              <w:t>=</w:t>
            </w:r>
            <w:r w:rsidRPr="00041731">
              <w:rPr>
                <w:color w:val="0000FF"/>
              </w:rPr>
              <w:tab/>
              <w:t>visual segment ceiling (feet)</w:t>
            </w:r>
          </w:p>
          <w:p w:rsidR="00EF4EC1" w:rsidRPr="00041731" w:rsidRDefault="00EF4EC1" w:rsidP="00EF4EC1">
            <w:pPr>
              <w:pStyle w:val="Slide3"/>
              <w:rPr>
                <w:color w:val="0000FF"/>
              </w:rPr>
            </w:pPr>
            <w:r w:rsidRPr="00041731">
              <w:rPr>
                <w:color w:val="0000FF"/>
              </w:rPr>
              <w:t>x</w:t>
            </w:r>
            <w:r w:rsidRPr="00041731">
              <w:rPr>
                <w:color w:val="0000FF"/>
              </w:rPr>
              <w:tab/>
              <w:t>=</w:t>
            </w:r>
            <w:r w:rsidRPr="00041731">
              <w:rPr>
                <w:color w:val="0000FF"/>
              </w:rPr>
              <w:tab/>
              <w:t>ceiling for final segment C/L intercept of 30°</w:t>
            </w:r>
            <w:r w:rsidRPr="00041731">
              <w:rPr>
                <w:color w:val="0000FF"/>
              </w:rPr>
              <w:br/>
              <w:t>Values are:</w:t>
            </w:r>
          </w:p>
          <w:p w:rsidR="00EF4EC1" w:rsidRPr="00041731" w:rsidRDefault="00EF4EC1" w:rsidP="00EF4EC1">
            <w:pPr>
              <w:pStyle w:val="Slide5"/>
              <w:rPr>
                <w:color w:val="0000FF"/>
              </w:rPr>
            </w:pPr>
            <w:r w:rsidRPr="00041731">
              <w:rPr>
                <w:color w:val="0000FF"/>
              </w:rPr>
              <w:t>CAT A: 300</w:t>
            </w:r>
          </w:p>
          <w:p w:rsidR="00EF4EC1" w:rsidRPr="00041731" w:rsidRDefault="00EF4EC1" w:rsidP="00EF4EC1">
            <w:pPr>
              <w:pStyle w:val="Slide5"/>
              <w:rPr>
                <w:color w:val="0000FF"/>
              </w:rPr>
            </w:pPr>
            <w:r w:rsidRPr="00041731">
              <w:rPr>
                <w:color w:val="0000FF"/>
              </w:rPr>
              <w:t>CAT B: 330</w:t>
            </w:r>
          </w:p>
          <w:p w:rsidR="00EF4EC1" w:rsidRPr="00041731" w:rsidRDefault="00EF4EC1" w:rsidP="00EF4EC1">
            <w:pPr>
              <w:pStyle w:val="Slide5"/>
              <w:rPr>
                <w:color w:val="0000FF"/>
              </w:rPr>
            </w:pPr>
            <w:r w:rsidRPr="00041731">
              <w:rPr>
                <w:color w:val="0000FF"/>
              </w:rPr>
              <w:t>CAT C: 435</w:t>
            </w:r>
          </w:p>
          <w:p w:rsidR="00EF4EC1" w:rsidRPr="00041731" w:rsidRDefault="00EF4EC1" w:rsidP="00EF4EC1">
            <w:pPr>
              <w:pStyle w:val="Slide5"/>
              <w:rPr>
                <w:color w:val="0000FF"/>
              </w:rPr>
            </w:pPr>
            <w:r w:rsidRPr="00041731">
              <w:rPr>
                <w:color w:val="0000FF"/>
              </w:rPr>
              <w:t>CAT D: 540</w:t>
            </w:r>
          </w:p>
          <w:p w:rsidR="00EF4EC1" w:rsidRPr="00041731" w:rsidRDefault="00EF4EC1" w:rsidP="00EF4EC1">
            <w:pPr>
              <w:pStyle w:val="Slide3"/>
              <w:rPr>
                <w:color w:val="0000FF"/>
              </w:rPr>
            </w:pPr>
            <w:r w:rsidRPr="00041731">
              <w:rPr>
                <w:color w:val="0000FF"/>
              </w:rPr>
              <w:t>d</w:t>
            </w:r>
            <w:r w:rsidRPr="00041731">
              <w:rPr>
                <w:color w:val="0000FF"/>
              </w:rPr>
              <w:tab/>
              <w:t>=</w:t>
            </w:r>
            <w:r w:rsidRPr="00041731">
              <w:rPr>
                <w:color w:val="0000FF"/>
              </w:rPr>
              <w:tab/>
              <w:t>distance betwee</w:t>
            </w:r>
            <w:r w:rsidRPr="00041731">
              <w:rPr>
                <w:color w:val="0000FF"/>
                <w:spacing w:val="-2"/>
              </w:rPr>
              <w:t xml:space="preserve">n parallel </w:t>
            </w:r>
            <w:r w:rsidRPr="00041731">
              <w:rPr>
                <w:color w:val="0000FF"/>
              </w:rPr>
              <w:t>runways in nautical miles</w:t>
            </w:r>
          </w:p>
          <w:p w:rsidR="00EF4EC1" w:rsidRPr="00041731" w:rsidRDefault="00EF4EC1" w:rsidP="00EF4EC1">
            <w:pPr>
              <w:pStyle w:val="Slide3"/>
              <w:rPr>
                <w:color w:val="0000FF"/>
              </w:rPr>
            </w:pPr>
            <w:r w:rsidRPr="00041731">
              <w:rPr>
                <w:color w:val="0000FF"/>
              </w:rPr>
              <w:t>f</w:t>
            </w:r>
            <w:r w:rsidRPr="00041731">
              <w:rPr>
                <w:color w:val="0000FF"/>
              </w:rPr>
              <w:tab/>
              <w:t>=</w:t>
            </w:r>
            <w:r w:rsidRPr="00041731">
              <w:rPr>
                <w:color w:val="0000FF"/>
              </w:rPr>
              <w:tab/>
              <w:t>factor (in feet), for:</w:t>
            </w:r>
          </w:p>
          <w:p w:rsidR="00EF4EC1" w:rsidRPr="00041731" w:rsidRDefault="00EF4EC1" w:rsidP="00EF4EC1">
            <w:pPr>
              <w:pStyle w:val="Slide5"/>
              <w:rPr>
                <w:color w:val="0000FF"/>
              </w:rPr>
            </w:pPr>
            <w:r w:rsidRPr="00041731">
              <w:rPr>
                <w:color w:val="0000FF"/>
              </w:rPr>
              <w:t>CAT A: 48</w:t>
            </w:r>
          </w:p>
          <w:p w:rsidR="00EF4EC1" w:rsidRPr="00041731" w:rsidRDefault="00EF4EC1" w:rsidP="00EF4EC1">
            <w:pPr>
              <w:pStyle w:val="Slide5"/>
              <w:rPr>
                <w:color w:val="0000FF"/>
              </w:rPr>
            </w:pPr>
            <w:r w:rsidRPr="00041731">
              <w:rPr>
                <w:color w:val="0000FF"/>
              </w:rPr>
              <w:t>CAT B: 82</w:t>
            </w:r>
          </w:p>
          <w:p w:rsidR="00EF4EC1" w:rsidRPr="00041731" w:rsidRDefault="00EF4EC1" w:rsidP="00EF4EC1">
            <w:pPr>
              <w:pStyle w:val="Slide5"/>
              <w:rPr>
                <w:color w:val="0000FF"/>
              </w:rPr>
            </w:pPr>
            <w:r w:rsidRPr="00041731">
              <w:rPr>
                <w:color w:val="0000FF"/>
              </w:rPr>
              <w:t>CAT C: 118</w:t>
            </w:r>
          </w:p>
          <w:p w:rsidR="00EF4EC1" w:rsidRPr="00041731" w:rsidRDefault="00EF4EC1" w:rsidP="00EF4EC1">
            <w:pPr>
              <w:pStyle w:val="Slide5"/>
              <w:rPr>
                <w:color w:val="0000FF"/>
              </w:rPr>
            </w:pPr>
            <w:r w:rsidRPr="00041731">
              <w:rPr>
                <w:color w:val="0000FF"/>
              </w:rPr>
              <w:t>CAT D: 153.</w:t>
            </w:r>
          </w:p>
        </w:tc>
      </w:tr>
    </w:tbl>
    <w:p w:rsidR="00EF4EC1" w:rsidRPr="00B87EC6" w:rsidRDefault="00EF4EC1" w:rsidP="00EF4EC1">
      <w:pPr>
        <w:pStyle w:val="Normaltext1"/>
      </w:pPr>
      <w:r w:rsidRPr="00B87EC6">
        <w:t>When considering whether to use a formula, the question of clarity, comprehension</w:t>
      </w:r>
      <w:r>
        <w:t xml:space="preserve"> and</w:t>
      </w:r>
      <w:r w:rsidRPr="00B87EC6">
        <w:t xml:space="preserve"> usability needs to be addressed from the perspective of the users of the legislation – the people have to comply with the legislation, and those who have to enforce and administer it – not that of the </w:t>
      </w:r>
      <w:r>
        <w:t>legislative counsel</w:t>
      </w:r>
      <w:r w:rsidRPr="00B87EC6">
        <w:t>.</w:t>
      </w:r>
    </w:p>
    <w:p w:rsidR="00EF4EC1" w:rsidRPr="00B87EC6" w:rsidRDefault="00EF4EC1" w:rsidP="00EF4EC1">
      <w:pPr>
        <w:pStyle w:val="Normaltext1"/>
      </w:pPr>
      <w:r w:rsidRPr="00B87EC6">
        <w:t xml:space="preserve">Many </w:t>
      </w:r>
      <w:r>
        <w:t xml:space="preserve">legislative counsel </w:t>
      </w:r>
      <w:r w:rsidRPr="00B87EC6">
        <w:t xml:space="preserve">baulk at the idea of using formulae because of a general fear of mathematics. There is a perception that if you can describe the calculation in words, that will somehow avoid the need to understand the mathematics. A few moments of thought should expose the flaw in this reasoning. If the policy being implemented requires a mathematical calculation be incorporated into the legislation, it is going to remain mathematical whether it is written in words or as a formula. So like it or not, the </w:t>
      </w:r>
      <w:r>
        <w:t>legislative counsel</w:t>
      </w:r>
      <w:r w:rsidRPr="00B87EC6">
        <w:t xml:space="preserve"> is going to have to deal with it.</w:t>
      </w:r>
    </w:p>
    <w:p w:rsidR="00EF4EC1" w:rsidRDefault="00EF4EC1" w:rsidP="00EF4EC1">
      <w:pPr>
        <w:pStyle w:val="Normaltext1"/>
      </w:pPr>
      <w:r w:rsidRPr="00B87EC6">
        <w:t xml:space="preserve">A </w:t>
      </w:r>
      <w:r>
        <w:t>legislative counsel</w:t>
      </w:r>
      <w:r w:rsidRPr="00B87EC6">
        <w:t>’s decisions about whether to use a formula and how to construct it are always subject to the constraints of technology. While we have come a long way from the restrictions of typewriters and type</w:t>
      </w:r>
      <w:r>
        <w:noBreakHyphen/>
      </w:r>
      <w:r w:rsidRPr="00B87EC6">
        <w:t xml:space="preserve">set printing, the options for using formulae are not </w:t>
      </w:r>
      <w:r w:rsidRPr="00B87EC6">
        <w:lastRenderedPageBreak/>
        <w:t xml:space="preserve">unlimited. Even if legislation is drafted in a format that would allow freedom to draft equations as the </w:t>
      </w:r>
      <w:r>
        <w:t>legislative counsel</w:t>
      </w:r>
      <w:r w:rsidRPr="00B87EC6">
        <w:t xml:space="preserve"> thinks best, the need for web publication in multiple formats often imposes limits on what can be done. </w:t>
      </w:r>
      <w:r>
        <w:t xml:space="preserve"> </w:t>
      </w:r>
    </w:p>
    <w:p w:rsidR="00EF4EC1" w:rsidRDefault="00EF4EC1" w:rsidP="00EF4EC1">
      <w:pPr>
        <w:pStyle w:val="Normaltext1"/>
      </w:pPr>
      <w:r>
        <w:t>For example, PCO NZ’s practice is for formulae to be written in a single line format as this avoids some of the formatting issues and makes formulae recognisable to screen reading technology used by people with vision impairment.</w:t>
      </w:r>
    </w:p>
    <w:p w:rsidR="00EF4EC1" w:rsidRDefault="00EF4EC1" w:rsidP="00EF4EC1">
      <w:pPr>
        <w:pStyle w:val="Normaltext1"/>
      </w:pPr>
      <w:r w:rsidRPr="00B87EC6">
        <w:t xml:space="preserve">So while I encourage </w:t>
      </w:r>
      <w:r>
        <w:t>legislative counsel</w:t>
      </w:r>
      <w:r w:rsidRPr="00B87EC6">
        <w:t xml:space="preserve"> to consider the use of formulae, I recognise that some of the suggestions in this paper may be ruled out by the limitations of technology</w:t>
      </w:r>
      <w:r>
        <w:t xml:space="preserve"> and office practices for dealing with them</w:t>
      </w:r>
      <w:r w:rsidRPr="00B87EC6">
        <w:t>.</w:t>
      </w:r>
    </w:p>
    <w:p w:rsidR="00EF4EC1" w:rsidRPr="00C87EB4" w:rsidRDefault="00EF4EC1" w:rsidP="00EF4EC1">
      <w:pPr>
        <w:pStyle w:val="Heading3"/>
      </w:pPr>
      <w:bookmarkStart w:id="95" w:name="_Toc477006911"/>
      <w:bookmarkStart w:id="96" w:name="_Toc477006971"/>
      <w:bookmarkStart w:id="97" w:name="_Toc477159609"/>
      <w:bookmarkStart w:id="98" w:name="_Toc500060173"/>
      <w:bookmarkStart w:id="99" w:name="_Toc501713642"/>
      <w:bookmarkStart w:id="100" w:name="_Toc501713781"/>
      <w:bookmarkStart w:id="101" w:name="_Toc503170531"/>
      <w:bookmarkStart w:id="102" w:name="_Toc503290250"/>
      <w:bookmarkStart w:id="103" w:name="_Toc504579914"/>
      <w:r w:rsidRPr="00C87EB4">
        <w:t>Things to consider when dealing with calculations</w:t>
      </w:r>
      <w:bookmarkEnd w:id="95"/>
      <w:bookmarkEnd w:id="96"/>
      <w:bookmarkEnd w:id="97"/>
      <w:bookmarkEnd w:id="98"/>
      <w:bookmarkEnd w:id="99"/>
      <w:bookmarkEnd w:id="100"/>
      <w:bookmarkEnd w:id="101"/>
      <w:bookmarkEnd w:id="102"/>
      <w:bookmarkEnd w:id="103"/>
    </w:p>
    <w:p w:rsidR="00EF4EC1" w:rsidRPr="00B87EC6" w:rsidRDefault="00EF4EC1" w:rsidP="00EF4EC1">
      <w:pPr>
        <w:pStyle w:val="Normaltext1"/>
      </w:pPr>
      <w:r w:rsidRPr="00B87EC6">
        <w:t>When writing a calculation, there are a number of issues that need to be considered, regardless of whether the calculation is written as a formula or in words.</w:t>
      </w:r>
    </w:p>
    <w:p w:rsidR="00EF4EC1" w:rsidRPr="001C74E0" w:rsidRDefault="00EF4EC1" w:rsidP="00EF4EC1">
      <w:pPr>
        <w:pStyle w:val="Heading4"/>
      </w:pPr>
      <w:bookmarkStart w:id="104" w:name="_Toc477006912"/>
      <w:bookmarkStart w:id="105" w:name="_Toc477006972"/>
      <w:bookmarkStart w:id="106" w:name="_Toc477159610"/>
      <w:r w:rsidRPr="001C74E0">
        <w:t>Units of measurement</w:t>
      </w:r>
      <w:bookmarkEnd w:id="104"/>
      <w:bookmarkEnd w:id="105"/>
      <w:bookmarkEnd w:id="106"/>
    </w:p>
    <w:p w:rsidR="00EF4EC1" w:rsidRPr="00B87EC6" w:rsidRDefault="00EF4EC1" w:rsidP="00EF4EC1">
      <w:pPr>
        <w:pStyle w:val="Normaltext1"/>
      </w:pPr>
      <w:r w:rsidRPr="00B87EC6">
        <w:t>The units of measurement for both the result of the calculation and for each variable need to be considered.</w:t>
      </w:r>
    </w:p>
    <w:p w:rsidR="00EF4EC1" w:rsidRPr="00B87EC6" w:rsidRDefault="00EF4EC1" w:rsidP="00EF4EC1">
      <w:pPr>
        <w:pStyle w:val="Normaltext1"/>
      </w:pPr>
      <w:r w:rsidRPr="00B87EC6">
        <w:t>If a variable represents an amount that is simply a number, not a measurement of something, then there is no unit of measurement (</w:t>
      </w:r>
      <w:r>
        <w:t>for example,</w:t>
      </w:r>
      <w:r w:rsidRPr="00B87EC6">
        <w:t xml:space="preserve"> </w:t>
      </w:r>
      <w:r>
        <w:t>variable ‘</w:t>
      </w:r>
      <w:r w:rsidRPr="00B87EC6">
        <w:t>k</w:t>
      </w:r>
      <w:r>
        <w:t>’</w:t>
      </w:r>
      <w:r w:rsidRPr="00B87EC6">
        <w:t xml:space="preserve"> in example 10).</w:t>
      </w:r>
    </w:p>
    <w:p w:rsidR="00EF4EC1" w:rsidRPr="00B87EC6" w:rsidRDefault="00EF4EC1" w:rsidP="00EF4EC1">
      <w:pPr>
        <w:pStyle w:val="Normaltext1"/>
      </w:pPr>
      <w:r w:rsidRPr="00B87EC6">
        <w:t>If there are 2 or more variables representing a similar kind of thing, they will usually be measured in the same units, but not always. A calculation involving money, for example, might require some variables to be in dollars and others in cents.</w:t>
      </w:r>
    </w:p>
    <w:p w:rsidR="00EF4EC1" w:rsidRPr="00B87EC6" w:rsidRDefault="00EF4EC1" w:rsidP="00EF4EC1">
      <w:pPr>
        <w:pStyle w:val="Normaltext1"/>
      </w:pPr>
      <w:r w:rsidRPr="00B87EC6">
        <w:t>The unit of measurement of the result of a calculation will often follow necessarily from the units of the variables, but even so it may be helpful to include it.</w:t>
      </w:r>
    </w:p>
    <w:p w:rsidR="00EF4EC1" w:rsidRPr="00B87EC6" w:rsidRDefault="00EF4EC1" w:rsidP="00EF4EC1">
      <w:pPr>
        <w:pStyle w:val="Normaltext1"/>
      </w:pPr>
      <w:r w:rsidRPr="00B87EC6">
        <w:t>Units of measurement don’t always need to be specified. It might be self</w:t>
      </w:r>
      <w:r>
        <w:noBreakHyphen/>
      </w:r>
      <w:r w:rsidRPr="00B87EC6">
        <w:t>evident given the nature of the variable – the population of a region is, obviously, measured in numbers of people. The relevant units might be determined by other legislation – a jurisdiction’s currency legislation usually provides that monetary amounts are taken to be in the local currency.</w:t>
      </w:r>
    </w:p>
    <w:p w:rsidR="00EF4EC1" w:rsidRPr="00B87EC6" w:rsidRDefault="00EF4EC1" w:rsidP="00EF4EC1">
      <w:pPr>
        <w:pStyle w:val="Normaltext1"/>
      </w:pPr>
      <w:r w:rsidRPr="00B87EC6">
        <w:t>In addition to the variables, make sure that numerical amounts included directly in the calculation are expressed in the appropriate units. For example, in example 8, land tax is imposed at the rate of 0.10 cents for each dollar of value over $300</w:t>
      </w:r>
      <w:r>
        <w:t> 000</w:t>
      </w:r>
      <w:r w:rsidRPr="00B87EC6">
        <w:t>. As the result (amount t) and other variables are all expressed in dollars, the tax rate must also be in dollars (</w:t>
      </w:r>
      <w:r>
        <w:t>$</w:t>
      </w:r>
      <w:r w:rsidRPr="00B87EC6">
        <w:t>0.001), not cents.</w:t>
      </w:r>
    </w:p>
    <w:p w:rsidR="00EF4EC1" w:rsidRPr="00616683" w:rsidRDefault="00EF4EC1" w:rsidP="00EF4EC1">
      <w:pPr>
        <w:pStyle w:val="Slidelabel"/>
      </w:pPr>
      <w:bookmarkStart w:id="107" w:name="_Ref475606991"/>
      <w:r w:rsidRPr="00616683">
        <w:lastRenderedPageBreak/>
        <w:t>Tax rate in dollars not cents</w:t>
      </w:r>
      <w:bookmarkEnd w:id="107"/>
    </w:p>
    <w:tbl>
      <w:tblPr>
        <w:tblStyle w:val="TableGrid"/>
        <w:tblW w:w="8504" w:type="dxa"/>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Tr="00EF4EC1">
        <w:tc>
          <w:tcPr>
            <w:tcW w:w="8504" w:type="dxa"/>
            <w:shd w:val="clear" w:color="auto" w:fill="FFFFFF"/>
          </w:tcPr>
          <w:p w:rsidR="00EF4EC1" w:rsidRPr="00041731" w:rsidRDefault="00EF4EC1" w:rsidP="00EF4EC1">
            <w:pPr>
              <w:pStyle w:val="Slide1"/>
              <w:keepNext w:val="0"/>
              <w:rPr>
                <w:color w:val="0000FF"/>
              </w:rPr>
            </w:pPr>
            <w:r w:rsidRPr="00041731">
              <w:rPr>
                <w:color w:val="0000FF"/>
              </w:rPr>
              <w:t>34</w:t>
            </w:r>
            <w:r w:rsidRPr="00041731">
              <w:rPr>
                <w:color w:val="0000FF"/>
              </w:rPr>
              <w:tab/>
              <w:t>Land tax</w:t>
            </w:r>
          </w:p>
          <w:p w:rsidR="00EF4EC1" w:rsidRPr="00041731" w:rsidRDefault="00EF4EC1" w:rsidP="00EF4EC1">
            <w:pPr>
              <w:pStyle w:val="Slide2"/>
              <w:rPr>
                <w:color w:val="0000FF"/>
              </w:rPr>
            </w:pPr>
            <w:r w:rsidRPr="00041731">
              <w:rPr>
                <w:color w:val="0000FF"/>
              </w:rPr>
              <w:tab/>
              <w:t>The land tax in respect of the land for the relevant financial year is to be calculated in accordance with the formula:</w:t>
            </w:r>
          </w:p>
          <w:p w:rsidR="00EF4EC1" w:rsidRPr="00E91CE5" w:rsidRDefault="00EF4EC1" w:rsidP="00EF4EC1">
            <w:pPr>
              <w:pStyle w:val="SlideEquation"/>
              <w:rPr>
                <w:color w:val="0000FF"/>
                <w:szCs w:val="22"/>
                <w:oMath/>
              </w:rPr>
            </w:pPr>
            <m:oMathPara>
              <m:oMathParaPr>
                <m:jc m:val="left"/>
              </m:oMathParaPr>
              <m:oMath>
                <m:r>
                  <m:rPr>
                    <m:nor/>
                  </m:rPr>
                  <w:rPr>
                    <w:color w:val="0000FF"/>
                    <w:szCs w:val="22"/>
                  </w:rPr>
                  <m:t xml:space="preserve">t = </m:t>
                </m:r>
                <m:r>
                  <m:rPr>
                    <m:nor/>
                  </m:rPr>
                  <w:rPr>
                    <w:color w:val="FF0000"/>
                    <w:szCs w:val="22"/>
                  </w:rPr>
                  <m:t xml:space="preserve">0.001 </m:t>
                </m:r>
                <m:r>
                  <m:rPr>
                    <m:nor/>
                  </m:rPr>
                  <w:rPr>
                    <w:color w:val="0000FF"/>
                    <w:szCs w:val="22"/>
                  </w:rPr>
                  <m:t xml:space="preserve">× </m:t>
                </m:r>
                <m:d>
                  <m:dPr>
                    <m:ctrlPr>
                      <w:rPr>
                        <w:rFonts w:ascii="Cambria Math" w:hAnsi="Cambria Math"/>
                        <w:i/>
                        <w:color w:val="0000FF"/>
                        <w:szCs w:val="22"/>
                      </w:rPr>
                    </m:ctrlPr>
                  </m:dPr>
                  <m:e>
                    <m:r>
                      <m:rPr>
                        <m:nor/>
                      </m:rPr>
                      <w:rPr>
                        <w:color w:val="0000FF"/>
                        <w:szCs w:val="22"/>
                      </w:rPr>
                      <m:t>v</m:t>
                    </m:r>
                    <m:r>
                      <m:rPr>
                        <m:sty m:val="p"/>
                      </m:rPr>
                      <w:rPr>
                        <w:rFonts w:ascii="Cambria Math" w:hAnsi="Cambria Math"/>
                        <w:color w:val="0000FF"/>
                        <w:szCs w:val="22"/>
                      </w:rPr>
                      <m:t>-</m:t>
                    </m:r>
                    <m:r>
                      <m:rPr>
                        <m:nor/>
                      </m:rPr>
                      <w:rPr>
                        <w:color w:val="0000FF"/>
                        <w:szCs w:val="22"/>
                      </w:rPr>
                      <m:t>300 000</m:t>
                    </m:r>
                  </m:e>
                </m:d>
              </m:oMath>
            </m:oMathPara>
          </w:p>
          <w:p w:rsidR="00EF4EC1" w:rsidRPr="00041731" w:rsidRDefault="00EF4EC1" w:rsidP="00EF4EC1">
            <w:pPr>
              <w:pStyle w:val="Slide3"/>
              <w:rPr>
                <w:color w:val="0000FF"/>
              </w:rPr>
            </w:pPr>
            <w:r w:rsidRPr="00041731">
              <w:rPr>
                <w:color w:val="0000FF"/>
              </w:rPr>
              <w:t>where:</w:t>
            </w:r>
          </w:p>
          <w:p w:rsidR="00EF4EC1" w:rsidRPr="00041731" w:rsidRDefault="00EF4EC1" w:rsidP="00EF4EC1">
            <w:pPr>
              <w:pStyle w:val="Slide3"/>
              <w:rPr>
                <w:color w:val="0000FF"/>
              </w:rPr>
            </w:pPr>
            <w:r w:rsidRPr="00041731">
              <w:rPr>
                <w:color w:val="0000FF"/>
              </w:rPr>
              <w:t>t</w:t>
            </w:r>
            <w:r w:rsidRPr="00041731">
              <w:rPr>
                <w:color w:val="0000FF"/>
              </w:rPr>
              <w:tab/>
              <w:t>=</w:t>
            </w:r>
            <w:r w:rsidRPr="00041731">
              <w:rPr>
                <w:color w:val="0000FF"/>
              </w:rPr>
              <w:tab/>
              <w:t>the amount of tax payable in dollars</w:t>
            </w:r>
          </w:p>
          <w:p w:rsidR="00EF4EC1" w:rsidRPr="00041731" w:rsidRDefault="00EF4EC1" w:rsidP="00EF4EC1">
            <w:pPr>
              <w:pStyle w:val="Slide3"/>
              <w:rPr>
                <w:color w:val="0000FF"/>
              </w:rPr>
            </w:pPr>
            <w:r w:rsidRPr="00041731">
              <w:rPr>
                <w:color w:val="0000FF"/>
              </w:rPr>
              <w:t>v</w:t>
            </w:r>
            <w:r w:rsidRPr="00041731">
              <w:rPr>
                <w:color w:val="0000FF"/>
              </w:rPr>
              <w:tab/>
              <w:t>=</w:t>
            </w:r>
            <w:r w:rsidRPr="00041731">
              <w:rPr>
                <w:color w:val="0000FF"/>
              </w:rPr>
              <w:tab/>
              <w:t>the value of the land in dollars</w:t>
            </w:r>
          </w:p>
        </w:tc>
      </w:tr>
    </w:tbl>
    <w:p w:rsidR="00EF4EC1" w:rsidRPr="00B87EC6" w:rsidRDefault="00EF4EC1" w:rsidP="00EF4EC1">
      <w:pPr>
        <w:pStyle w:val="Normaltext1"/>
      </w:pPr>
      <w:r w:rsidRPr="00B87EC6">
        <w:t>On some occasions it may be necessary to explain how values are to be converted into the relevant units. The obvious example of this is the conversion of foreign currency.</w:t>
      </w:r>
    </w:p>
    <w:p w:rsidR="00EF4EC1" w:rsidRPr="00616683" w:rsidRDefault="00EF4EC1" w:rsidP="00EF4EC1">
      <w:pPr>
        <w:pStyle w:val="Slidelabel"/>
      </w:pPr>
      <w:r w:rsidRPr="00616683">
        <w:t>Conversion to appropriate units of measurement</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5737C9" w:rsidRDefault="00EF4EC1" w:rsidP="00EF4EC1">
            <w:pPr>
              <w:pStyle w:val="Slide1"/>
              <w:keepNext w:val="0"/>
              <w:rPr>
                <w:color w:val="0000FF"/>
              </w:rPr>
            </w:pPr>
            <w:bookmarkStart w:id="108" w:name="_Toc8623660"/>
            <w:bookmarkStart w:id="109" w:name="_Toc11229501"/>
            <w:bookmarkStart w:id="110" w:name="_Toc104276669"/>
            <w:bookmarkStart w:id="111" w:name="_Toc181502780"/>
            <w:bookmarkStart w:id="112" w:name="_Toc488740278"/>
            <w:r w:rsidRPr="005737C9">
              <w:rPr>
                <w:color w:val="0000FF"/>
              </w:rPr>
              <w:t>85</w:t>
            </w:r>
            <w:r w:rsidRPr="005737C9">
              <w:rPr>
                <w:color w:val="0000FF"/>
              </w:rPr>
              <w:tab/>
              <w:t>Conversion to Australian currency</w:t>
            </w:r>
            <w:bookmarkEnd w:id="108"/>
            <w:bookmarkEnd w:id="109"/>
            <w:bookmarkEnd w:id="110"/>
            <w:bookmarkEnd w:id="111"/>
          </w:p>
          <w:p w:rsidR="00EF4EC1" w:rsidRPr="005737C9" w:rsidRDefault="00EF4EC1" w:rsidP="00EF4EC1">
            <w:pPr>
              <w:pStyle w:val="Slide2"/>
              <w:rPr>
                <w:color w:val="0000FF"/>
              </w:rPr>
            </w:pPr>
            <w:r w:rsidRPr="005737C9">
              <w:rPr>
                <w:color w:val="0000FF"/>
              </w:rPr>
              <w:t>(1)</w:t>
            </w:r>
            <w:r w:rsidRPr="005737C9">
              <w:rPr>
                <w:color w:val="0000FF"/>
              </w:rPr>
              <w:tab/>
              <w:t>Where, for the purposes of determining the amount of royalty payable for</w:t>
            </w:r>
            <w:r>
              <w:rPr>
                <w:color w:val="0000FF"/>
              </w:rPr>
              <w:t xml:space="preserve"> a</w:t>
            </w:r>
            <w:r w:rsidRPr="00D3401F">
              <w:t xml:space="preserve"> </w:t>
            </w:r>
            <w:r w:rsidRPr="005737C9">
              <w:rPr>
                <w:color w:val="0000FF"/>
              </w:rPr>
              <w:t xml:space="preserve">mineral, it is necessary to convert an amount </w:t>
            </w:r>
            <w:r>
              <w:rPr>
                <w:color w:val="0000FF"/>
              </w:rPr>
              <w:t>...</w:t>
            </w:r>
            <w:r w:rsidRPr="005737C9">
              <w:rPr>
                <w:color w:val="0000FF"/>
              </w:rPr>
              <w:t xml:space="preserve"> to Australian currency, the conversion is to be calculated using the average of the RBA rates for the quarter in which the shipment date for the mineral occurred.</w:t>
            </w:r>
            <w:bookmarkEnd w:id="112"/>
          </w:p>
          <w:p w:rsidR="00EF4EC1" w:rsidRPr="005737C9" w:rsidRDefault="00EF4EC1" w:rsidP="00EF4EC1">
            <w:pPr>
              <w:pStyle w:val="Slide2"/>
              <w:rPr>
                <w:color w:val="0000FF"/>
              </w:rPr>
            </w:pPr>
            <w:r w:rsidRPr="005737C9">
              <w:rPr>
                <w:color w:val="0000FF"/>
              </w:rPr>
              <w:t>(2)</w:t>
            </w:r>
            <w:r w:rsidRPr="005737C9">
              <w:rPr>
                <w:color w:val="0000FF"/>
              </w:rPr>
              <w:tab/>
              <w:t>In this regulation:</w:t>
            </w:r>
          </w:p>
          <w:p w:rsidR="00EF4EC1" w:rsidRPr="005737C9" w:rsidRDefault="00EF4EC1" w:rsidP="00EF4EC1">
            <w:pPr>
              <w:pStyle w:val="Slide3"/>
              <w:tabs>
                <w:tab w:val="clear" w:pos="1021"/>
              </w:tabs>
              <w:ind w:left="567" w:firstLine="0"/>
              <w:rPr>
                <w:color w:val="0000FF"/>
              </w:rPr>
            </w:pPr>
            <w:r w:rsidRPr="005737C9">
              <w:rPr>
                <w:rStyle w:val="CharDefText"/>
                <w:color w:val="0000FF"/>
              </w:rPr>
              <w:t>RBA rate</w:t>
            </w:r>
            <w:r w:rsidRPr="005737C9">
              <w:rPr>
                <w:color w:val="0000FF"/>
              </w:rPr>
              <w:t xml:space="preserve"> means the daily representative rate used by the Reserve Bank of Australia.</w:t>
            </w:r>
          </w:p>
        </w:tc>
      </w:tr>
    </w:tbl>
    <w:p w:rsidR="00EF4EC1" w:rsidRPr="00B87EC6" w:rsidRDefault="00EF4EC1" w:rsidP="00EF4EC1">
      <w:pPr>
        <w:pStyle w:val="Normaltext1"/>
      </w:pPr>
      <w:r w:rsidRPr="00B87EC6">
        <w:t>There are a number of drafting options for identifying units of measurement.</w:t>
      </w:r>
    </w:p>
    <w:p w:rsidR="00EF4EC1" w:rsidRDefault="00EF4EC1" w:rsidP="00EF4EC1">
      <w:pPr>
        <w:pStyle w:val="Normaltext1"/>
      </w:pPr>
      <w:r w:rsidRPr="00B87EC6">
        <w:t>If a formula is being used, the units of measurement can be identified in the opening words or in the definitions of the variables, as in example 10.</w:t>
      </w:r>
    </w:p>
    <w:p w:rsidR="00EF4EC1" w:rsidRDefault="00EF4EC1" w:rsidP="00EF4EC1">
      <w:pPr>
        <w:rPr>
          <w:rFonts w:eastAsia="Calibri"/>
          <w:color w:val="000000"/>
          <w:spacing w:val="-3"/>
          <w:szCs w:val="25"/>
          <w:lang w:val="en-CA"/>
        </w:rPr>
      </w:pPr>
      <w:r>
        <w:br w:type="page"/>
      </w:r>
    </w:p>
    <w:p w:rsidR="00EF4EC1" w:rsidRPr="00187FD2" w:rsidRDefault="00EF4EC1" w:rsidP="00EF4EC1">
      <w:pPr>
        <w:pStyle w:val="Slidelabel"/>
      </w:pPr>
      <w:bookmarkStart w:id="113" w:name="_Ref475606973"/>
      <w:r w:rsidRPr="00187FD2">
        <w:lastRenderedPageBreak/>
        <w:t>Units of measurement</w:t>
      </w:r>
      <w:bookmarkEnd w:id="113"/>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5737C9" w:rsidRDefault="00EF4EC1" w:rsidP="00EF4EC1">
            <w:pPr>
              <w:pStyle w:val="Slide1"/>
              <w:keepNext w:val="0"/>
              <w:rPr>
                <w:color w:val="0000FF"/>
              </w:rPr>
            </w:pPr>
            <w:bookmarkStart w:id="114" w:name="_Toc156877847"/>
            <w:r w:rsidRPr="005737C9">
              <w:rPr>
                <w:color w:val="0000FF"/>
              </w:rPr>
              <w:t>4</w:t>
            </w:r>
            <w:r w:rsidRPr="005737C9">
              <w:rPr>
                <w:color w:val="0000FF"/>
              </w:rPr>
              <w:tab/>
              <w:t>Mass limits for combinations</w:t>
            </w:r>
            <w:bookmarkEnd w:id="114"/>
          </w:p>
          <w:p w:rsidR="00EF4EC1" w:rsidRPr="005737C9" w:rsidRDefault="00EF4EC1" w:rsidP="00EF4EC1">
            <w:pPr>
              <w:pStyle w:val="Slide2"/>
              <w:rPr>
                <w:color w:val="0000FF"/>
              </w:rPr>
            </w:pPr>
            <w:r w:rsidRPr="005737C9">
              <w:rPr>
                <w:color w:val="0000FF"/>
              </w:rPr>
              <w:tab/>
              <w:t>The total mass of a road train or B</w:t>
            </w:r>
            <w:r>
              <w:rPr>
                <w:color w:val="0000FF"/>
              </w:rPr>
              <w:noBreakHyphen/>
            </w:r>
            <w:r w:rsidRPr="005737C9">
              <w:rPr>
                <w:color w:val="0000FF"/>
              </w:rPr>
              <w:t>double and any load must not exceed the amount calculated using the formula:</w:t>
            </w:r>
          </w:p>
          <w:p w:rsidR="00EF4EC1" w:rsidRPr="005737C9" w:rsidRDefault="00EF4EC1" w:rsidP="00EF4EC1">
            <w:pPr>
              <w:pStyle w:val="SlideEquation"/>
              <w:rPr>
                <w:rFonts w:ascii="Cambria Math" w:hAnsi="Cambria Math"/>
                <w:color w:val="0000FF"/>
                <w:oMath/>
              </w:rPr>
            </w:pPr>
            <m:oMathPara>
              <m:oMathParaPr>
                <m:jc m:val="left"/>
              </m:oMathParaPr>
              <m:oMath>
                <m:r>
                  <m:rPr>
                    <m:nor/>
                  </m:rPr>
                  <w:rPr>
                    <w:color w:val="0000FF"/>
                  </w:rPr>
                  <m:t>a</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k</m:t>
                    </m:r>
                    <m:r>
                      <m:rPr>
                        <m:nor/>
                      </m:rPr>
                      <w:rPr>
                        <w:rFonts w:ascii="Cambria Math"/>
                        <w:color w:val="0000FF"/>
                      </w:rPr>
                      <m:t xml:space="preserve"> </m:t>
                    </m:r>
                    <m:r>
                      <m:rPr>
                        <m:nor/>
                      </m:rPr>
                      <w:rPr>
                        <w:rFonts w:ascii="Cambria Math" w:hAnsi="Cambria Math"/>
                        <w:color w:val="0000FF"/>
                      </w:rPr>
                      <m:t>×</m:t>
                    </m:r>
                    <m:r>
                      <m:rPr>
                        <m:nor/>
                      </m:rPr>
                      <w:rPr>
                        <w:color w:val="0000FF"/>
                      </w:rPr>
                      <m:t xml:space="preserve"> m</m:t>
                    </m:r>
                    <m:r>
                      <m:rPr>
                        <m:nor/>
                      </m:rPr>
                      <w:rPr>
                        <w:rFonts w:ascii="Cambria Math"/>
                        <w:color w:val="0000FF"/>
                      </w:rPr>
                      <m:t xml:space="preserve"> </m:t>
                    </m:r>
                    <m:r>
                      <m:rPr>
                        <m:nor/>
                      </m:rPr>
                      <w:rPr>
                        <w:rFonts w:ascii="Cambria Math" w:hAnsi="Cambria Math"/>
                        <w:color w:val="0000FF"/>
                      </w:rPr>
                      <m:t xml:space="preserve">× </m:t>
                    </m:r>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t</m:t>
                    </m:r>
                  </m:num>
                  <m:den>
                    <m:r>
                      <m:rPr>
                        <m:nor/>
                      </m:rPr>
                      <w:rPr>
                        <w:color w:val="0000FF"/>
                      </w:rPr>
                      <m:t>16</m:t>
                    </m:r>
                  </m:den>
                </m:f>
              </m:oMath>
            </m:oMathPara>
          </w:p>
          <w:p w:rsidR="00EF4EC1" w:rsidRPr="005737C9" w:rsidRDefault="00EF4EC1" w:rsidP="00EF4EC1">
            <w:pPr>
              <w:pStyle w:val="Slide3"/>
              <w:rPr>
                <w:color w:val="0000FF"/>
              </w:rPr>
            </w:pPr>
            <w:r w:rsidRPr="005737C9">
              <w:rPr>
                <w:color w:val="0000FF"/>
              </w:rPr>
              <w:t>where:</w:t>
            </w:r>
            <w:r>
              <w:rPr>
                <w:noProof/>
                <w:snapToGrid/>
                <w:color w:val="0000FF"/>
                <w:lang w:eastAsia="en-NZ"/>
              </w:rPr>
              <w:t xml:space="preserve"> </w:t>
            </w:r>
          </w:p>
          <w:p w:rsidR="00EF4EC1" w:rsidRPr="00AD6910" w:rsidRDefault="00EF4EC1" w:rsidP="00EF4EC1">
            <w:pPr>
              <w:pStyle w:val="Slide3"/>
              <w:rPr>
                <w:color w:val="0000FF"/>
              </w:rPr>
            </w:pPr>
            <w:r w:rsidRPr="005737C9">
              <w:rPr>
                <w:color w:val="0000FF"/>
              </w:rPr>
              <w:t>a</w:t>
            </w:r>
            <w:r w:rsidRPr="005737C9">
              <w:rPr>
                <w:color w:val="0000FF"/>
              </w:rPr>
              <w:tab/>
              <w:t>=</w:t>
            </w:r>
            <w:r w:rsidRPr="005737C9">
              <w:rPr>
                <w:color w:val="0000FF"/>
              </w:rPr>
              <w:tab/>
              <w:t xml:space="preserve">total mass of vehicle and </w:t>
            </w:r>
            <w:r w:rsidRPr="00AD6910">
              <w:rPr>
                <w:color w:val="0000FF"/>
              </w:rPr>
              <w:t xml:space="preserve">load </w:t>
            </w:r>
            <w:r w:rsidRPr="00C91EFA">
              <w:rPr>
                <w:color w:val="FF0000"/>
              </w:rPr>
              <w:t>in kilograms</w:t>
            </w:r>
          </w:p>
          <w:p w:rsidR="00EF4EC1" w:rsidRPr="005737C9" w:rsidRDefault="00EF4EC1" w:rsidP="00EF4EC1">
            <w:pPr>
              <w:pStyle w:val="Slide3"/>
              <w:rPr>
                <w:color w:val="0000FF"/>
              </w:rPr>
            </w:pPr>
            <w:r w:rsidRPr="005737C9">
              <w:rPr>
                <w:bCs/>
                <w:color w:val="0000FF"/>
              </w:rPr>
              <w:t>k</w:t>
            </w:r>
            <w:r w:rsidRPr="005737C9">
              <w:rPr>
                <w:bCs/>
                <w:color w:val="0000FF"/>
              </w:rPr>
              <w:tab/>
              <w:t>=</w:t>
            </w:r>
            <w:r w:rsidRPr="005737C9">
              <w:rPr>
                <w:bCs/>
                <w:color w:val="0000FF"/>
              </w:rPr>
              <w:tab/>
            </w:r>
            <w:r w:rsidRPr="005737C9">
              <w:rPr>
                <w:color w:val="0000FF"/>
              </w:rPr>
              <w:t xml:space="preserve">if vehicle has a single drive axle, </w:t>
            </w:r>
            <w:r>
              <w:rPr>
                <w:color w:val="0000FF"/>
              </w:rPr>
              <w:t xml:space="preserve">k = </w:t>
            </w:r>
            <w:r w:rsidRPr="005737C9">
              <w:rPr>
                <w:bCs/>
                <w:color w:val="0000FF"/>
              </w:rPr>
              <w:t>0.055</w:t>
            </w:r>
          </w:p>
          <w:p w:rsidR="00EF4EC1" w:rsidRPr="005737C9" w:rsidRDefault="00EF4EC1" w:rsidP="00EF4EC1">
            <w:pPr>
              <w:pStyle w:val="Slide4"/>
              <w:rPr>
                <w:color w:val="0000FF"/>
              </w:rPr>
            </w:pPr>
            <w:r w:rsidRPr="005737C9">
              <w:rPr>
                <w:color w:val="0000FF"/>
              </w:rPr>
              <w:t>if vehicle has a single drive tandem axle group,</w:t>
            </w:r>
            <w:r>
              <w:rPr>
                <w:color w:val="0000FF"/>
              </w:rPr>
              <w:t xml:space="preserve"> k = </w:t>
            </w:r>
            <w:r w:rsidRPr="005737C9">
              <w:rPr>
                <w:bCs/>
                <w:color w:val="0000FF"/>
              </w:rPr>
              <w:t>0.053</w:t>
            </w:r>
          </w:p>
          <w:p w:rsidR="00EF4EC1" w:rsidRPr="005737C9" w:rsidRDefault="00EF4EC1" w:rsidP="00EF4EC1">
            <w:pPr>
              <w:pStyle w:val="Slide3"/>
              <w:rPr>
                <w:color w:val="0000FF"/>
              </w:rPr>
            </w:pPr>
            <w:r w:rsidRPr="005737C9">
              <w:rPr>
                <w:color w:val="0000FF"/>
              </w:rPr>
              <w:t>m</w:t>
            </w:r>
            <w:r w:rsidRPr="005737C9">
              <w:rPr>
                <w:color w:val="0000FF"/>
              </w:rPr>
              <w:tab/>
              <w:t>=</w:t>
            </w:r>
            <w:r w:rsidRPr="005737C9">
              <w:rPr>
                <w:color w:val="0000FF"/>
              </w:rPr>
              <w:tab/>
              <w:t xml:space="preserve">number </w:t>
            </w:r>
            <w:r w:rsidRPr="00AD6910">
              <w:rPr>
                <w:color w:val="0000FF"/>
              </w:rPr>
              <w:t xml:space="preserve">of </w:t>
            </w:r>
            <w:r w:rsidRPr="00C91EFA">
              <w:rPr>
                <w:bCs/>
                <w:color w:val="FF0000"/>
              </w:rPr>
              <w:t>tyre revolutions per kilometre</w:t>
            </w:r>
            <w:r w:rsidRPr="00C91EFA">
              <w:rPr>
                <w:color w:val="FF0000"/>
              </w:rPr>
              <w:t xml:space="preserve"> </w:t>
            </w:r>
            <w:r w:rsidRPr="00AD6910">
              <w:rPr>
                <w:color w:val="0000FF"/>
              </w:rPr>
              <w:t>specified</w:t>
            </w:r>
            <w:r w:rsidRPr="005737C9">
              <w:rPr>
                <w:color w:val="0000FF"/>
              </w:rPr>
              <w:t xml:space="preserve"> by the tyre manufacturer for the tyres fitted to the driving axle or axles</w:t>
            </w:r>
          </w:p>
          <w:p w:rsidR="00EF4EC1" w:rsidRPr="005737C9" w:rsidRDefault="00EF4EC1" w:rsidP="00EF4EC1">
            <w:pPr>
              <w:pStyle w:val="Slide3"/>
              <w:rPr>
                <w:color w:val="0000FF"/>
              </w:rPr>
            </w:pPr>
            <w:r w:rsidRPr="005737C9">
              <w:rPr>
                <w:color w:val="0000FF"/>
              </w:rPr>
              <w:t>r</w:t>
            </w:r>
            <w:r w:rsidRPr="005737C9">
              <w:rPr>
                <w:color w:val="0000FF"/>
              </w:rPr>
              <w:tab/>
              <w:t>=</w:t>
            </w:r>
            <w:r w:rsidRPr="005737C9">
              <w:rPr>
                <w:color w:val="0000FF"/>
              </w:rPr>
              <w:tab/>
              <w:t>overall gear reduction between engine and drive wheels</w:t>
            </w:r>
          </w:p>
          <w:p w:rsidR="00EF4EC1" w:rsidRPr="005737C9" w:rsidRDefault="00EF4EC1" w:rsidP="00EF4EC1">
            <w:pPr>
              <w:pStyle w:val="Slide3"/>
              <w:rPr>
                <w:color w:val="0000FF"/>
              </w:rPr>
            </w:pPr>
            <w:r w:rsidRPr="005737C9">
              <w:rPr>
                <w:color w:val="0000FF"/>
              </w:rPr>
              <w:t>t</w:t>
            </w:r>
            <w:r w:rsidRPr="005737C9">
              <w:rPr>
                <w:color w:val="0000FF"/>
              </w:rPr>
              <w:tab/>
              <w:t>=</w:t>
            </w:r>
            <w:r w:rsidRPr="005737C9">
              <w:rPr>
                <w:color w:val="0000FF"/>
              </w:rPr>
              <w:tab/>
              <w:t xml:space="preserve">maximum engine net torque </w:t>
            </w:r>
            <w:r w:rsidRPr="00AD6910">
              <w:rPr>
                <w:color w:val="0000FF"/>
              </w:rPr>
              <w:t xml:space="preserve">in </w:t>
            </w:r>
            <w:r w:rsidRPr="00C91EFA">
              <w:rPr>
                <w:bCs/>
                <w:color w:val="FF0000"/>
              </w:rPr>
              <w:t>newton</w:t>
            </w:r>
            <w:r>
              <w:rPr>
                <w:bCs/>
                <w:color w:val="FF0000"/>
              </w:rPr>
              <w:noBreakHyphen/>
            </w:r>
            <w:r w:rsidRPr="00C91EFA">
              <w:rPr>
                <w:bCs/>
                <w:color w:val="FF0000"/>
              </w:rPr>
              <w:t>metres</w:t>
            </w:r>
            <w:r w:rsidRPr="00AD6910">
              <w:rPr>
                <w:color w:val="0000FF"/>
              </w:rPr>
              <w:t>.</w:t>
            </w:r>
          </w:p>
        </w:tc>
      </w:tr>
    </w:tbl>
    <w:p w:rsidR="00EF4EC1" w:rsidRPr="00B87EC6" w:rsidRDefault="00EF4EC1" w:rsidP="00EF4EC1">
      <w:pPr>
        <w:pStyle w:val="Normaltext1"/>
      </w:pPr>
      <w:r w:rsidRPr="00B87EC6">
        <w:t>The units of measurement are not part of the calculation so should not be included in the formula itself.</w:t>
      </w:r>
    </w:p>
    <w:p w:rsidR="00EF4EC1" w:rsidRPr="00187FD2" w:rsidRDefault="00EF4EC1" w:rsidP="00EF4EC1">
      <w:pPr>
        <w:pStyle w:val="Slidelabel"/>
      </w:pPr>
      <w:bookmarkStart w:id="115" w:name="_Ref475777737"/>
      <w:r w:rsidRPr="00187FD2">
        <w:t>Units of measurement incorrectly in formula</w:t>
      </w:r>
      <w:bookmarkEnd w:id="115"/>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5737C9" w:rsidRDefault="00EF4EC1" w:rsidP="00EF4EC1">
            <w:pPr>
              <w:pStyle w:val="Slide1"/>
              <w:keepNext w:val="0"/>
              <w:rPr>
                <w:color w:val="0000FF"/>
              </w:rPr>
            </w:pPr>
            <w:r w:rsidRPr="005737C9">
              <w:rPr>
                <w:color w:val="0000FF"/>
              </w:rPr>
              <w:t>6</w:t>
            </w:r>
            <w:r w:rsidRPr="005737C9">
              <w:rPr>
                <w:color w:val="0000FF"/>
              </w:rPr>
              <w:tab/>
              <w:t>Earners’ levy</w:t>
            </w:r>
          </w:p>
          <w:p w:rsidR="00EF4EC1" w:rsidRPr="005737C9" w:rsidRDefault="00EF4EC1" w:rsidP="00EF4EC1">
            <w:pPr>
              <w:pStyle w:val="Slide2"/>
              <w:rPr>
                <w:color w:val="0000FF"/>
              </w:rPr>
            </w:pPr>
            <w:r w:rsidRPr="005737C9">
              <w:rPr>
                <w:color w:val="0000FF"/>
              </w:rPr>
              <w:tab/>
              <w:t>The person must pay an earners' levy calculated using the following formula:</w:t>
            </w:r>
          </w:p>
          <w:p w:rsidR="00EF4EC1" w:rsidRPr="00E91CE5" w:rsidRDefault="00EF4EC1" w:rsidP="00EF4EC1">
            <w:pPr>
              <w:pStyle w:val="SlideEquation"/>
              <w:rPr>
                <w:rFonts w:ascii="Cambria Math" w:hAnsi="Cambria Math"/>
                <w:color w:val="0000FF"/>
                <w:oMath/>
              </w:rPr>
            </w:pPr>
            <m:oMathPara>
              <m:oMathParaPr>
                <m:jc m:val="left"/>
              </m:oMathParaPr>
              <m:oMath>
                <m:r>
                  <m:rPr>
                    <m:nor/>
                  </m:rPr>
                  <w:rPr>
                    <w:color w:val="FF0000"/>
                  </w:rPr>
                  <m:t>$</m:t>
                </m:r>
                <m:r>
                  <m:rPr>
                    <m:nor/>
                  </m:rPr>
                  <w:rPr>
                    <w:color w:val="0000FF"/>
                  </w:rPr>
                  <m:t xml:space="preserve">v = </m:t>
                </m:r>
                <m:f>
                  <m:fPr>
                    <m:ctrlPr>
                      <w:rPr>
                        <w:rFonts w:ascii="Cambria Math" w:hAnsi="Cambria Math"/>
                        <w:i/>
                        <w:color w:val="0000FF"/>
                      </w:rPr>
                    </m:ctrlPr>
                  </m:fPr>
                  <m:num>
                    <m:r>
                      <m:rPr>
                        <m:nor/>
                      </m:rPr>
                      <w:rPr>
                        <w:color w:val="FF0000"/>
                      </w:rPr>
                      <m:t>$</m:t>
                    </m:r>
                    <m:r>
                      <m:rPr>
                        <m:nor/>
                      </m:rPr>
                      <w:rPr>
                        <w:color w:val="0000FF"/>
                      </w:rPr>
                      <m:t>23 000</m:t>
                    </m:r>
                    <m:r>
                      <m:rPr>
                        <m:sty m:val="p"/>
                      </m:rPr>
                      <w:rPr>
                        <w:rFonts w:ascii="Cambria Math" w:hAnsi="Cambria Math"/>
                        <w:color w:val="0000FF"/>
                      </w:rPr>
                      <m:t>-</m:t>
                    </m:r>
                    <m:r>
                      <m:rPr>
                        <m:nor/>
                      </m:rPr>
                      <w:rPr>
                        <w:color w:val="FF0000"/>
                      </w:rPr>
                      <m:t>$</m:t>
                    </m:r>
                    <m:r>
                      <m:rPr>
                        <m:nor/>
                      </m:rPr>
                      <w:rPr>
                        <w:color w:val="0000FF"/>
                      </w:rPr>
                      <m:t>e</m:t>
                    </m:r>
                  </m:num>
                  <m:den>
                    <m:r>
                      <m:rPr>
                        <m:nor/>
                      </m:rPr>
                      <w:rPr>
                        <w:color w:val="0000FF"/>
                      </w:rPr>
                      <m:t>100</m:t>
                    </m:r>
                  </m:den>
                </m:f>
                <m:r>
                  <m:rPr>
                    <m:nor/>
                  </m:rPr>
                  <w:rPr>
                    <w:color w:val="0000FF"/>
                  </w:rPr>
                  <m:t xml:space="preserve"> </m:t>
                </m:r>
                <m:r>
                  <m:rPr>
                    <m:nor/>
                  </m:rPr>
                  <w:rPr>
                    <w:rFonts w:ascii="Cambria Math" w:hAnsi="Cambria Math"/>
                    <w:color w:val="0000FF"/>
                  </w:rPr>
                  <m:t>×</m:t>
                </m:r>
                <m:r>
                  <m:rPr>
                    <m:nor/>
                  </m:rPr>
                  <w:rPr>
                    <w:color w:val="0000FF"/>
                  </w:rPr>
                  <m:t xml:space="preserve"> 1.4320</m:t>
                </m:r>
              </m:oMath>
            </m:oMathPara>
          </w:p>
          <w:p w:rsidR="00EF4EC1" w:rsidRPr="005737C9" w:rsidRDefault="00EF4EC1" w:rsidP="00EF4EC1">
            <w:pPr>
              <w:pStyle w:val="Slide3"/>
              <w:rPr>
                <w:color w:val="0000FF"/>
              </w:rPr>
            </w:pPr>
            <w:r w:rsidRPr="005737C9">
              <w:rPr>
                <w:color w:val="0000FF"/>
              </w:rPr>
              <w:t>where:</w:t>
            </w:r>
          </w:p>
          <w:p w:rsidR="00EF4EC1" w:rsidRPr="005737C9" w:rsidRDefault="00EF4EC1" w:rsidP="00EF4EC1">
            <w:pPr>
              <w:pStyle w:val="Slide3"/>
              <w:rPr>
                <w:color w:val="0000FF"/>
              </w:rPr>
            </w:pPr>
            <w:r w:rsidRPr="005737C9">
              <w:rPr>
                <w:color w:val="0000FF"/>
              </w:rPr>
              <w:t>v</w:t>
            </w:r>
            <w:r w:rsidRPr="005737C9">
              <w:rPr>
                <w:color w:val="0000FF"/>
              </w:rPr>
              <w:tab/>
              <w:t>=</w:t>
            </w:r>
            <w:r w:rsidRPr="005737C9">
              <w:rPr>
                <w:color w:val="0000FF"/>
              </w:rPr>
              <w:tab/>
              <w:t>amount of earners’ levy</w:t>
            </w:r>
          </w:p>
          <w:p w:rsidR="00EF4EC1" w:rsidRPr="005737C9" w:rsidRDefault="00EF4EC1" w:rsidP="00EF4EC1">
            <w:pPr>
              <w:pStyle w:val="Slide3"/>
              <w:rPr>
                <w:rFonts w:ascii="Times New Roman" w:hAnsi="Times New Roman" w:cs="Times New Roman"/>
                <w:color w:val="0000FF"/>
                <w:sz w:val="24"/>
              </w:rPr>
            </w:pPr>
            <w:r w:rsidRPr="005737C9">
              <w:rPr>
                <w:color w:val="0000FF"/>
              </w:rPr>
              <w:t>e</w:t>
            </w:r>
            <w:r w:rsidRPr="005737C9">
              <w:rPr>
                <w:color w:val="0000FF"/>
              </w:rPr>
              <w:tab/>
              <w:t>=</w:t>
            </w:r>
            <w:r w:rsidRPr="005737C9">
              <w:rPr>
                <w:color w:val="0000FF"/>
              </w:rPr>
              <w:tab/>
              <w:t>earnings as an employee.</w:t>
            </w:r>
          </w:p>
        </w:tc>
      </w:tr>
    </w:tbl>
    <w:p w:rsidR="00EF4EC1" w:rsidRDefault="00EF4EC1" w:rsidP="00EF4EC1">
      <w:pPr>
        <w:pStyle w:val="Normaltext1"/>
      </w:pPr>
      <w:r w:rsidRPr="00B87EC6">
        <w:t>Another option is to identify the units of measurement in a separate provision. This is an option for both formulae or calculations written in words. This could be useful if the legislation involves a large number of calculations involving the same kind of variables measured in the same units, particularly if you also need to prescribe procedures for how measurements are to be taken.</w:t>
      </w:r>
    </w:p>
    <w:p w:rsidR="00EF4EC1" w:rsidRDefault="00EF4EC1" w:rsidP="00EF4EC1">
      <w:pPr>
        <w:rPr>
          <w:rFonts w:eastAsia="Calibri"/>
          <w:color w:val="000000"/>
          <w:spacing w:val="-3"/>
          <w:szCs w:val="25"/>
          <w:lang w:val="en-CA"/>
        </w:rPr>
      </w:pPr>
      <w:r>
        <w:br w:type="page"/>
      </w:r>
    </w:p>
    <w:p w:rsidR="00EF4EC1" w:rsidRPr="00187FD2" w:rsidRDefault="00EF4EC1" w:rsidP="00EF4EC1">
      <w:pPr>
        <w:pStyle w:val="Slidelabel"/>
      </w:pPr>
      <w:r w:rsidRPr="00187FD2">
        <w:lastRenderedPageBreak/>
        <w:t>Separate measurement provision</w:t>
      </w:r>
    </w:p>
    <w:tbl>
      <w:tblPr>
        <w:tblStyle w:val="TableGrid"/>
        <w:tblW w:w="8504" w:type="dxa"/>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4"/>
      </w:tblGrid>
      <w:tr w:rsidR="00EF4EC1" w:rsidRPr="00187FD2" w:rsidTr="00EF4EC1">
        <w:tc>
          <w:tcPr>
            <w:tcW w:w="8504" w:type="dxa"/>
            <w:shd w:val="clear" w:color="auto" w:fill="FFFFFF"/>
          </w:tcPr>
          <w:p w:rsidR="00EF4EC1" w:rsidRPr="005737C9" w:rsidRDefault="00EF4EC1" w:rsidP="00EF4EC1">
            <w:pPr>
              <w:pStyle w:val="Slide1"/>
              <w:keepNext w:val="0"/>
              <w:rPr>
                <w:color w:val="0000FF"/>
              </w:rPr>
            </w:pPr>
            <w:r w:rsidRPr="005737C9">
              <w:rPr>
                <w:rStyle w:val="label1"/>
                <w:color w:val="0000FF"/>
              </w:rPr>
              <w:t>7</w:t>
            </w:r>
            <w:r w:rsidRPr="005737C9">
              <w:rPr>
                <w:rStyle w:val="label1"/>
                <w:color w:val="0000FF"/>
              </w:rPr>
              <w:tab/>
            </w:r>
            <w:r w:rsidRPr="005737C9">
              <w:rPr>
                <w:color w:val="0000FF"/>
              </w:rPr>
              <w:t>Measurements</w:t>
            </w:r>
          </w:p>
          <w:p w:rsidR="00EF4EC1" w:rsidRPr="005737C9" w:rsidRDefault="00EF4EC1" w:rsidP="00EF4EC1">
            <w:pPr>
              <w:pStyle w:val="Slide2"/>
              <w:rPr>
                <w:color w:val="0000FF"/>
              </w:rPr>
            </w:pPr>
            <w:r w:rsidRPr="005737C9">
              <w:rPr>
                <w:color w:val="0000FF"/>
                <w:lang w:eastAsia="en-NZ"/>
              </w:rPr>
              <w:t>(</w:t>
            </w:r>
            <w:r w:rsidRPr="005737C9">
              <w:rPr>
                <w:color w:val="0000FF"/>
              </w:rPr>
              <w:t>1)</w:t>
            </w:r>
            <w:r w:rsidRPr="005737C9">
              <w:rPr>
                <w:color w:val="0000FF"/>
              </w:rPr>
              <w:tab/>
              <w:t>The height of a cabinet is to be measured:</w:t>
            </w:r>
            <w:r>
              <w:rPr>
                <w:noProof/>
                <w:snapToGrid/>
                <w:color w:val="0000FF"/>
                <w:lang w:eastAsia="en-NZ"/>
              </w:rPr>
              <w:t xml:space="preserve"> </w:t>
            </w:r>
          </w:p>
          <w:p w:rsidR="00EF4EC1" w:rsidRPr="005737C9" w:rsidRDefault="00EF4EC1" w:rsidP="00EF4EC1">
            <w:pPr>
              <w:pStyle w:val="Slide3"/>
              <w:tabs>
                <w:tab w:val="clear" w:pos="1021"/>
              </w:tabs>
              <w:rPr>
                <w:color w:val="0000FF"/>
              </w:rPr>
            </w:pPr>
            <w:r w:rsidRPr="005737C9">
              <w:rPr>
                <w:color w:val="0000FF"/>
              </w:rPr>
              <w:t>(a)</w:t>
            </w:r>
            <w:r w:rsidRPr="005737C9">
              <w:rPr>
                <w:color w:val="0000FF"/>
              </w:rPr>
              <w:tab/>
              <w:t>from the bottom of the cabinet at its lowest point:</w:t>
            </w:r>
          </w:p>
          <w:p w:rsidR="00EF4EC1" w:rsidRPr="005737C9" w:rsidRDefault="00EF4EC1" w:rsidP="00EF4EC1">
            <w:pPr>
              <w:pStyle w:val="Slide3"/>
              <w:tabs>
                <w:tab w:val="clear" w:pos="1021"/>
              </w:tabs>
              <w:rPr>
                <w:color w:val="0000FF"/>
              </w:rPr>
            </w:pPr>
            <w:r w:rsidRPr="005737C9">
              <w:rPr>
                <w:color w:val="0000FF"/>
              </w:rPr>
              <w:t>(b)</w:t>
            </w:r>
            <w:r w:rsidRPr="005737C9">
              <w:rPr>
                <w:color w:val="0000FF"/>
              </w:rPr>
              <w:tab/>
              <w:t>to the highest point of the cabinet.</w:t>
            </w:r>
          </w:p>
          <w:p w:rsidR="00EF4EC1" w:rsidRPr="005737C9" w:rsidRDefault="00EF4EC1" w:rsidP="00EF4EC1">
            <w:pPr>
              <w:pStyle w:val="Slide2"/>
              <w:rPr>
                <w:color w:val="0000FF"/>
              </w:rPr>
            </w:pPr>
            <w:r w:rsidRPr="005737C9">
              <w:rPr>
                <w:color w:val="0000FF"/>
              </w:rPr>
              <w:t>(2)</w:t>
            </w:r>
            <w:r w:rsidRPr="005737C9">
              <w:rPr>
                <w:color w:val="0000FF"/>
              </w:rPr>
              <w:tab/>
              <w:t>The width of a pole is to be measured at the widest point of the pole (not including any headframe, antenna, or ancillary equipment).</w:t>
            </w:r>
          </w:p>
          <w:p w:rsidR="00EF4EC1" w:rsidRPr="005737C9" w:rsidRDefault="00EF4EC1" w:rsidP="00EF4EC1">
            <w:pPr>
              <w:pStyle w:val="Slide2"/>
              <w:rPr>
                <w:color w:val="0000FF"/>
              </w:rPr>
            </w:pPr>
            <w:r w:rsidRPr="005737C9">
              <w:rPr>
                <w:color w:val="0000FF"/>
              </w:rPr>
              <w:t>(3)</w:t>
            </w:r>
            <w:r w:rsidRPr="005737C9">
              <w:rPr>
                <w:color w:val="0000FF"/>
              </w:rPr>
              <w:tab/>
              <w:t>The height of a pole is to be measured from ground level to the highest point of the pole (not including any headframe, antennas, or ancillary equipment).</w:t>
            </w:r>
          </w:p>
          <w:p w:rsidR="00EF4EC1" w:rsidRPr="005737C9" w:rsidRDefault="00EF4EC1" w:rsidP="00EF4EC1">
            <w:pPr>
              <w:pStyle w:val="Slide2"/>
              <w:rPr>
                <w:color w:val="0000FF"/>
              </w:rPr>
            </w:pPr>
            <w:r w:rsidRPr="005737C9">
              <w:rPr>
                <w:color w:val="0000FF"/>
              </w:rPr>
              <w:t>(4)</w:t>
            </w:r>
            <w:r w:rsidRPr="005737C9">
              <w:rPr>
                <w:color w:val="0000FF"/>
              </w:rPr>
              <w:tab/>
              <w:t>All measurements are to be made in</w:t>
            </w:r>
            <w:r w:rsidRPr="00C91EFA">
              <w:rPr>
                <w:color w:val="FF0000"/>
              </w:rPr>
              <w:t xml:space="preserve"> meters</w:t>
            </w:r>
            <w:r w:rsidRPr="005737C9">
              <w:rPr>
                <w:color w:val="0000FF"/>
              </w:rPr>
              <w:t xml:space="preserve"> to 2 decimal places.</w:t>
            </w:r>
          </w:p>
        </w:tc>
      </w:tr>
    </w:tbl>
    <w:p w:rsidR="00EF4EC1" w:rsidRPr="00B87EC6" w:rsidRDefault="00EF4EC1" w:rsidP="00EF4EC1">
      <w:pPr>
        <w:pStyle w:val="Normaltext1"/>
      </w:pPr>
      <w:r w:rsidRPr="00B87EC6">
        <w:t>If a calculation is written in words, the units of measurement can be incorporated into the text. The need to identify units of measurement, especially if there are different units for different variables, may add sufficient complexity to the wording to justify using a formula.</w:t>
      </w:r>
    </w:p>
    <w:p w:rsidR="00EF4EC1" w:rsidRPr="00C87EB4" w:rsidRDefault="00EF4EC1" w:rsidP="00EF4EC1">
      <w:pPr>
        <w:pStyle w:val="Heading4"/>
      </w:pPr>
      <w:bookmarkStart w:id="116" w:name="_Toc477006913"/>
      <w:bookmarkStart w:id="117" w:name="_Toc477006973"/>
      <w:bookmarkStart w:id="118" w:name="_Toc477159611"/>
      <w:r w:rsidRPr="00C87EB4">
        <w:t>Rounding</w:t>
      </w:r>
      <w:bookmarkEnd w:id="116"/>
      <w:bookmarkEnd w:id="117"/>
      <w:bookmarkEnd w:id="118"/>
    </w:p>
    <w:p w:rsidR="00EF4EC1" w:rsidRPr="00B87EC6" w:rsidRDefault="00EF4EC1" w:rsidP="00EF4EC1">
      <w:pPr>
        <w:pStyle w:val="Normaltext1"/>
      </w:pPr>
      <w:r w:rsidRPr="00B87EC6">
        <w:t>Another issue that needs to be considered is whether the result of a calculation, or any of the variables, needs to be rounded. Rounding can be achieved in various ways, including:</w:t>
      </w:r>
    </w:p>
    <w:p w:rsidR="00EF4EC1" w:rsidRPr="00B87EC6" w:rsidRDefault="00EF4EC1" w:rsidP="00EF4EC1">
      <w:pPr>
        <w:pStyle w:val="Bullet1"/>
      </w:pPr>
      <w:r w:rsidRPr="00B87EC6">
        <w:t xml:space="preserve">rounding up (or down) to the nearest </w:t>
      </w:r>
      <w:r>
        <w:t>...</w:t>
      </w:r>
      <w:r w:rsidRPr="00B87EC6">
        <w:t xml:space="preserve"> whole number/ $100 / multiple of 5 </w:t>
      </w:r>
      <w:r>
        <w:t>etc.</w:t>
      </w:r>
    </w:p>
    <w:p w:rsidR="00EF4EC1" w:rsidRPr="00B87EC6" w:rsidRDefault="00EF4EC1" w:rsidP="00EF4EC1">
      <w:pPr>
        <w:pStyle w:val="Bullet1"/>
      </w:pPr>
      <w:r w:rsidRPr="00B87EC6">
        <w:t xml:space="preserve">rounding to the nearest ... whole number / $100 </w:t>
      </w:r>
      <w:r>
        <w:t>etc.</w:t>
      </w:r>
    </w:p>
    <w:p w:rsidR="00EF4EC1" w:rsidRPr="00B87EC6" w:rsidRDefault="00EF4EC1" w:rsidP="00EF4EC1">
      <w:pPr>
        <w:pStyle w:val="Bullet1"/>
      </w:pPr>
      <w:r w:rsidRPr="00B87EC6">
        <w:t>rounding to a spe</w:t>
      </w:r>
      <w:r>
        <w:t>cified number of decimal places.</w:t>
      </w:r>
    </w:p>
    <w:p w:rsidR="00EF4EC1" w:rsidRDefault="00EF4EC1" w:rsidP="00EF4EC1">
      <w:pPr>
        <w:pStyle w:val="Normaltext1"/>
      </w:pPr>
      <w:r w:rsidRPr="00B87EC6">
        <w:t>In the latter 2 cases, you may need to provide for midpoint amounts (see example 4).</w:t>
      </w:r>
    </w:p>
    <w:p w:rsidR="00EF4EC1" w:rsidRPr="00B87EC6" w:rsidRDefault="00EF4EC1" w:rsidP="00EF4EC1">
      <w:pPr>
        <w:pStyle w:val="Normaltext1"/>
      </w:pPr>
      <w:r w:rsidRPr="00B87EC6">
        <w:t>In some cases, the nature of the variable will negate the need for rounding. For example, the number of people in a region, measured in numbers of people, will necessarily be a whole number.</w:t>
      </w:r>
    </w:p>
    <w:p w:rsidR="00EF4EC1" w:rsidRPr="00B87EC6" w:rsidRDefault="00EF4EC1" w:rsidP="00EF4EC1">
      <w:pPr>
        <w:pStyle w:val="Normaltext1"/>
      </w:pPr>
      <w:r w:rsidRPr="00B87EC6">
        <w:t>The way in which a variable is defined may also have the effect of rounding. For example, if a variable is expressed as being in whole units (for example, whole dollars or whole months), that will have the effect of rounding down to the nearest whole unit (see variables</w:t>
      </w:r>
      <w:r>
        <w:t xml:space="preserve"> ‘s’ </w:t>
      </w:r>
      <w:r w:rsidRPr="00B87EC6">
        <w:t>and</w:t>
      </w:r>
      <w:r>
        <w:t xml:space="preserve"> ‘t’ </w:t>
      </w:r>
      <w:r w:rsidRPr="00B87EC6">
        <w:t>in example 20).</w:t>
      </w:r>
    </w:p>
    <w:p w:rsidR="00EF4EC1" w:rsidRPr="00B87EC6" w:rsidRDefault="00EF4EC1" w:rsidP="00EF4EC1">
      <w:pPr>
        <w:pStyle w:val="Normaltext1"/>
      </w:pPr>
      <w:r w:rsidRPr="00B87EC6">
        <w:t>The drafting options for dealing with rounding are much the same as those for identifying units of measurements. A separate ‘rounding provision’ may be used, either for a particular calculation (see example 4) or as a general provision covering all calculations in the legislation.</w:t>
      </w:r>
    </w:p>
    <w:p w:rsidR="00EF4EC1" w:rsidRPr="00187FD2" w:rsidRDefault="00EF4EC1" w:rsidP="00EF4EC1">
      <w:pPr>
        <w:pStyle w:val="Slidelabel"/>
      </w:pPr>
      <w:r w:rsidRPr="00187FD2">
        <w:lastRenderedPageBreak/>
        <w:t>Rounding rules</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5737C9" w:rsidRDefault="00EF4EC1" w:rsidP="00EF4EC1">
            <w:pPr>
              <w:pStyle w:val="Slide1"/>
              <w:keepNext w:val="0"/>
              <w:rPr>
                <w:color w:val="0000FF"/>
                <w:szCs w:val="22"/>
              </w:rPr>
            </w:pPr>
            <w:r w:rsidRPr="005737C9">
              <w:rPr>
                <w:color w:val="0000FF"/>
              </w:rPr>
              <w:t>17</w:t>
            </w:r>
            <w:r w:rsidRPr="005737C9">
              <w:rPr>
                <w:color w:val="0000FF"/>
              </w:rPr>
              <w:tab/>
              <w:t>Rounding of amounts</w:t>
            </w:r>
          </w:p>
          <w:p w:rsidR="00EF4EC1" w:rsidRPr="005737C9" w:rsidRDefault="00EF4EC1" w:rsidP="00EF4EC1">
            <w:pPr>
              <w:pStyle w:val="Slide2"/>
              <w:rPr>
                <w:color w:val="0000FF"/>
              </w:rPr>
            </w:pPr>
            <w:r w:rsidRPr="005737C9">
              <w:rPr>
                <w:color w:val="0000FF"/>
              </w:rPr>
              <w:tab/>
              <w:t xml:space="preserve">The result of any calculation of a monetary amount made under these regulations must be rounded to 2 decimal places, with numbers at the midpoint or greater being </w:t>
            </w:r>
            <w:r w:rsidRPr="00F2046A">
              <w:rPr>
                <w:rStyle w:val="hit1"/>
                <w:color w:val="FF0000"/>
                <w:shd w:val="clear" w:color="auto" w:fill="FFFFFF" w:themeFill="background1"/>
              </w:rPr>
              <w:t>rounded</w:t>
            </w:r>
            <w:r w:rsidRPr="005737C9">
              <w:rPr>
                <w:color w:val="0000FF"/>
              </w:rPr>
              <w:t xml:space="preserve"> up and other numbers being </w:t>
            </w:r>
            <w:r w:rsidRPr="00F2046A">
              <w:rPr>
                <w:rStyle w:val="hit1"/>
                <w:color w:val="FF0000"/>
                <w:shd w:val="clear" w:color="auto" w:fill="FFFFFF" w:themeFill="background1"/>
              </w:rPr>
              <w:t>rounded</w:t>
            </w:r>
            <w:r w:rsidRPr="005737C9">
              <w:rPr>
                <w:color w:val="0000FF"/>
              </w:rPr>
              <w:t xml:space="preserve"> down.</w:t>
            </w:r>
          </w:p>
        </w:tc>
      </w:tr>
    </w:tbl>
    <w:p w:rsidR="00EF4EC1" w:rsidRPr="00B87EC6" w:rsidRDefault="00EF4EC1" w:rsidP="00EF4EC1">
      <w:pPr>
        <w:pStyle w:val="Normaltext1"/>
      </w:pPr>
      <w:r w:rsidRPr="00B87EC6">
        <w:t>If a formula is used, provision for rounding can be included in the definitions of the variables.</w:t>
      </w:r>
    </w:p>
    <w:p w:rsidR="00EF4EC1" w:rsidRPr="00187FD2" w:rsidRDefault="00EF4EC1" w:rsidP="00EF4EC1">
      <w:pPr>
        <w:pStyle w:val="Slidelabel"/>
      </w:pPr>
      <w:r w:rsidRPr="00187FD2">
        <w:t>Rounding of variables</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5737C9" w:rsidRDefault="00EF4EC1" w:rsidP="00EF4EC1">
            <w:pPr>
              <w:pStyle w:val="Slide1"/>
              <w:keepNext w:val="0"/>
              <w:rPr>
                <w:color w:val="0000FF"/>
                <w:szCs w:val="22"/>
              </w:rPr>
            </w:pPr>
            <w:r w:rsidRPr="005737C9">
              <w:rPr>
                <w:color w:val="0000FF"/>
              </w:rPr>
              <w:t>10</w:t>
            </w:r>
            <w:r w:rsidRPr="005737C9">
              <w:rPr>
                <w:color w:val="0000FF"/>
              </w:rPr>
              <w:tab/>
              <w:t>Security deposit for mining lease</w:t>
            </w:r>
          </w:p>
          <w:p w:rsidR="00EF4EC1" w:rsidRPr="005737C9" w:rsidRDefault="00EF4EC1" w:rsidP="00EF4EC1">
            <w:pPr>
              <w:pStyle w:val="Slide2"/>
              <w:rPr>
                <w:color w:val="0000FF"/>
              </w:rPr>
            </w:pPr>
            <w:r w:rsidRPr="005737C9">
              <w:rPr>
                <w:color w:val="0000FF"/>
              </w:rPr>
              <w:tab/>
              <w:t>The amount of the security deposit payable under section 9 is to be calculated using the formula:</w:t>
            </w:r>
          </w:p>
          <w:p w:rsidR="00EF4EC1" w:rsidRPr="005737C9" w:rsidRDefault="00EF4EC1" w:rsidP="00EF4EC1">
            <w:pPr>
              <w:pStyle w:val="SlideEquation"/>
              <w:rPr>
                <w:color w:val="0000FF"/>
                <w:oMath/>
              </w:rPr>
            </w:pPr>
            <m:oMathPara>
              <m:oMathParaPr>
                <m:jc m:val="left"/>
              </m:oMathParaPr>
              <m:oMath>
                <m:r>
                  <m:rPr>
                    <m:nor/>
                  </m:rPr>
                  <w:rPr>
                    <w:color w:val="0000FF"/>
                  </w:rPr>
                  <m:t>d</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a</m:t>
                </m:r>
                <m:r>
                  <m:rPr>
                    <m:nor/>
                  </m:rPr>
                  <w:rPr>
                    <w:rFonts w:ascii="Cambria Math"/>
                    <w:color w:val="0000FF"/>
                  </w:rPr>
                  <m:t xml:space="preserve"> </m:t>
                </m:r>
                <m:r>
                  <m:rPr>
                    <m:nor/>
                  </m:rPr>
                  <w:rPr>
                    <w:rFonts w:ascii="Cambria Math" w:hAnsi="Cambria Math"/>
                    <w:color w:val="0000FF"/>
                  </w:rPr>
                  <m:t>×</m:t>
                </m:r>
                <m:r>
                  <m:rPr>
                    <m:nor/>
                  </m:rPr>
                  <w:rPr>
                    <w:color w:val="0000FF"/>
                  </w:rPr>
                  <m:t xml:space="preserve"> w</m:t>
                </m:r>
                <m:r>
                  <m:rPr>
                    <m:nor/>
                  </m:rPr>
                  <w:rPr>
                    <w:rFonts w:ascii="Cambria Math"/>
                    <w:color w:val="0000FF"/>
                  </w:rPr>
                  <m:t xml:space="preserve"> </m:t>
                </m:r>
                <m:r>
                  <m:rPr>
                    <m:nor/>
                  </m:rPr>
                  <w:rPr>
                    <w:rFonts w:ascii="Cambria Math" w:hAnsi="Cambria Math"/>
                    <w:color w:val="0000FF"/>
                  </w:rPr>
                  <m:t>×</m:t>
                </m:r>
                <m:r>
                  <m:rPr>
                    <m:nor/>
                  </m:rPr>
                  <w:rPr>
                    <w:color w:val="0000FF"/>
                  </w:rPr>
                  <m:t xml:space="preserve"> 100 000</m:t>
                </m:r>
              </m:oMath>
            </m:oMathPara>
          </w:p>
          <w:p w:rsidR="00EF4EC1" w:rsidRPr="005737C9" w:rsidRDefault="00EF4EC1" w:rsidP="00EF4EC1">
            <w:pPr>
              <w:pStyle w:val="Slide3"/>
              <w:rPr>
                <w:color w:val="0000FF"/>
              </w:rPr>
            </w:pPr>
            <w:r w:rsidRPr="005737C9">
              <w:rPr>
                <w:color w:val="0000FF"/>
              </w:rPr>
              <w:t>where:</w:t>
            </w:r>
          </w:p>
          <w:p w:rsidR="00EF4EC1" w:rsidRPr="005737C9" w:rsidRDefault="00EF4EC1" w:rsidP="00EF4EC1">
            <w:pPr>
              <w:pStyle w:val="Slide3"/>
              <w:rPr>
                <w:color w:val="0000FF"/>
              </w:rPr>
            </w:pPr>
            <w:r w:rsidRPr="005737C9">
              <w:rPr>
                <w:color w:val="0000FF"/>
              </w:rPr>
              <w:t>d</w:t>
            </w:r>
            <w:r w:rsidRPr="005737C9">
              <w:rPr>
                <w:color w:val="0000FF"/>
              </w:rPr>
              <w:tab/>
              <w:t>=</w:t>
            </w:r>
            <w:r w:rsidRPr="005737C9">
              <w:rPr>
                <w:color w:val="0000FF"/>
              </w:rPr>
              <w:tab/>
              <w:t>amount of deposit</w:t>
            </w:r>
          </w:p>
          <w:p w:rsidR="00EF4EC1" w:rsidRPr="005737C9" w:rsidRDefault="00EF4EC1" w:rsidP="00EF4EC1">
            <w:pPr>
              <w:pStyle w:val="Slide3"/>
              <w:rPr>
                <w:color w:val="0000FF"/>
              </w:rPr>
            </w:pPr>
            <w:r w:rsidRPr="005737C9">
              <w:rPr>
                <w:color w:val="0000FF"/>
              </w:rPr>
              <w:t>a</w:t>
            </w:r>
            <w:r w:rsidRPr="005737C9">
              <w:rPr>
                <w:color w:val="0000FF"/>
              </w:rPr>
              <w:tab/>
              <w:t>=</w:t>
            </w:r>
            <w:r w:rsidRPr="005737C9">
              <w:rPr>
                <w:color w:val="0000FF"/>
              </w:rPr>
              <w:tab/>
              <w:t xml:space="preserve">area of land subject to the lease, in hectares, </w:t>
            </w:r>
            <w:r w:rsidRPr="00C91EFA">
              <w:rPr>
                <w:color w:val="FF0000"/>
              </w:rPr>
              <w:t>rounded down to the nearest multiple of 10</w:t>
            </w:r>
          </w:p>
          <w:p w:rsidR="00EF4EC1" w:rsidRPr="005737C9" w:rsidRDefault="00EF4EC1" w:rsidP="00EF4EC1">
            <w:pPr>
              <w:pStyle w:val="Slide3"/>
              <w:rPr>
                <w:color w:val="0000FF"/>
              </w:rPr>
            </w:pPr>
            <w:r w:rsidRPr="005737C9">
              <w:rPr>
                <w:color w:val="0000FF"/>
              </w:rPr>
              <w:t>w</w:t>
            </w:r>
            <w:r w:rsidRPr="005737C9">
              <w:rPr>
                <w:color w:val="0000FF"/>
              </w:rPr>
              <w:tab/>
              <w:t>=</w:t>
            </w:r>
            <w:r w:rsidRPr="005737C9">
              <w:rPr>
                <w:color w:val="0000FF"/>
              </w:rPr>
              <w:tab/>
            </w:r>
            <w:r w:rsidRPr="005737C9">
              <w:rPr>
                <w:color w:val="0000FF"/>
                <w:lang w:eastAsia="en-NZ"/>
              </w:rPr>
              <w:t xml:space="preserve">weekly wage entitlement at the relevant date of the lowest paid labourer of the workforce of the Company </w:t>
            </w:r>
            <w:r w:rsidRPr="00C91EFA">
              <w:rPr>
                <w:color w:val="FF0000"/>
                <w:lang w:eastAsia="en-NZ"/>
              </w:rPr>
              <w:t>rounded up to the next whole dollar</w:t>
            </w:r>
            <w:r w:rsidRPr="00CF5341">
              <w:rPr>
                <w:color w:val="0000FF"/>
                <w:lang w:eastAsia="en-NZ"/>
              </w:rPr>
              <w:t>.</w:t>
            </w:r>
          </w:p>
        </w:tc>
      </w:tr>
    </w:tbl>
    <w:p w:rsidR="00EF4EC1" w:rsidRPr="00B87EC6" w:rsidRDefault="00EF4EC1" w:rsidP="00EF4EC1">
      <w:pPr>
        <w:pStyle w:val="Normaltext1"/>
      </w:pPr>
      <w:r w:rsidRPr="00B87EC6">
        <w:t>Rounding should not be incorporated into the formula itself.</w:t>
      </w:r>
    </w:p>
    <w:p w:rsidR="00EF4EC1" w:rsidRPr="00187FD2" w:rsidRDefault="00EF4EC1" w:rsidP="00EF4EC1">
      <w:pPr>
        <w:pStyle w:val="Slidelabel"/>
      </w:pPr>
      <w:bookmarkStart w:id="119" w:name="_Ref475777749"/>
      <w:r w:rsidRPr="00187FD2">
        <w:t>Rounding incorrectly in formula</w:t>
      </w:r>
      <w:bookmarkEnd w:id="119"/>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8F8F8"/>
          </w:tcPr>
          <w:p w:rsidR="00EF4EC1" w:rsidRPr="005737C9" w:rsidRDefault="00EF4EC1" w:rsidP="00EF4EC1">
            <w:pPr>
              <w:pStyle w:val="Slide1"/>
              <w:keepNext w:val="0"/>
              <w:rPr>
                <w:color w:val="0000FF"/>
              </w:rPr>
            </w:pPr>
            <w:r w:rsidRPr="005737C9">
              <w:rPr>
                <w:bCs/>
                <w:color w:val="0000FF"/>
              </w:rPr>
              <w:t>236</w:t>
            </w:r>
            <w:r w:rsidRPr="005737C9">
              <w:rPr>
                <w:bCs/>
                <w:color w:val="0000FF"/>
              </w:rPr>
              <w:tab/>
              <w:t>Amount of duty payable</w:t>
            </w:r>
          </w:p>
          <w:p w:rsidR="00EF4EC1" w:rsidRPr="005737C9" w:rsidRDefault="00EF4EC1" w:rsidP="00EF4EC1">
            <w:pPr>
              <w:pStyle w:val="Slide2"/>
              <w:rPr>
                <w:color w:val="0000FF"/>
              </w:rPr>
            </w:pPr>
            <w:r w:rsidRPr="005737C9">
              <w:rPr>
                <w:color w:val="0000FF"/>
              </w:rPr>
              <w:tab/>
            </w:r>
            <w:r>
              <w:rPr>
                <w:color w:val="0000FF"/>
              </w:rPr>
              <w:t>I</w:t>
            </w:r>
            <w:r w:rsidRPr="005737C9">
              <w:rPr>
                <w:color w:val="0000FF"/>
              </w:rPr>
              <w:t>f the dutiable value of the vehicle exceeds $20</w:t>
            </w:r>
            <w:r>
              <w:rPr>
                <w:color w:val="0000FF"/>
              </w:rPr>
              <w:t> 000</w:t>
            </w:r>
            <w:r w:rsidRPr="005737C9">
              <w:rPr>
                <w:color w:val="0000FF"/>
              </w:rPr>
              <w:t xml:space="preserve"> but does not exceed $45</w:t>
            </w:r>
            <w:r>
              <w:rPr>
                <w:color w:val="0000FF"/>
              </w:rPr>
              <w:t> 000, t</w:t>
            </w:r>
            <w:r w:rsidRPr="005737C9">
              <w:rPr>
                <w:color w:val="0000FF"/>
              </w:rPr>
              <w:t>he amount of duty is</w:t>
            </w:r>
            <w:r>
              <w:rPr>
                <w:color w:val="0000FF"/>
              </w:rPr>
              <w:t xml:space="preserve"> </w:t>
            </w:r>
            <w:r w:rsidRPr="005737C9">
              <w:rPr>
                <w:color w:val="0000FF"/>
              </w:rPr>
              <w:t>r% of the dutiable value, where r is determined in accordance with the following formula:</w:t>
            </w:r>
          </w:p>
          <w:p w:rsidR="00EF4EC1" w:rsidRPr="00CF5341" w:rsidRDefault="00EF4EC1" w:rsidP="00EF4EC1">
            <w:pPr>
              <w:pStyle w:val="SlideEquation"/>
              <w:rPr>
                <w:noProof/>
                <w:color w:val="0000FF"/>
                <w:oMath/>
              </w:rPr>
            </w:pPr>
            <m:oMathPara>
              <m:oMathParaPr>
                <m:jc m:val="left"/>
              </m:oMathParaPr>
              <m:oMath>
                <m:r>
                  <m:rPr>
                    <m:nor/>
                  </m:rPr>
                  <w:rPr>
                    <w:color w:val="0000FF"/>
                  </w:rPr>
                  <m:t>r</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color w:val="0000FF"/>
                      </w:rPr>
                    </m:ctrlPr>
                  </m:dPr>
                  <m:e>
                    <m:r>
                      <m:rPr>
                        <m:nor/>
                      </m:rPr>
                      <w:rPr>
                        <w:color w:val="0000FF"/>
                      </w:rPr>
                      <m:t>2.75</m:t>
                    </m:r>
                    <m:r>
                      <m:rPr>
                        <m:nor/>
                      </m:rPr>
                      <w:rPr>
                        <w:rFonts w:ascii="Cambria Math"/>
                        <w:color w:val="0000FF"/>
                      </w:rPr>
                      <m:t xml:space="preserve"> </m:t>
                    </m:r>
                    <m:r>
                      <m:rPr>
                        <m:nor/>
                      </m:rPr>
                      <w:rPr>
                        <w:rFonts w:ascii="Cambria Math" w:hAnsi="Cambria Math"/>
                        <w:color w:val="0000FF"/>
                      </w:rPr>
                      <m:t>+</m:t>
                    </m:r>
                    <m:r>
                      <m:rPr>
                        <m:nor/>
                      </m:rPr>
                      <w:rPr>
                        <w:color w:val="0000FF"/>
                      </w:rPr>
                      <m:t xml:space="preserve"> </m:t>
                    </m:r>
                    <m:d>
                      <m:dPr>
                        <m:ctrlPr>
                          <w:rPr>
                            <w:rFonts w:ascii="Cambria Math" w:hAnsi="Cambria Math"/>
                            <w:color w:val="0000FF"/>
                          </w:rPr>
                        </m:ctrlPr>
                      </m:dPr>
                      <m:e>
                        <m:f>
                          <m:fPr>
                            <m:ctrlPr>
                              <w:rPr>
                                <w:rFonts w:ascii="Cambria Math" w:hAnsi="Cambria Math"/>
                                <w:color w:val="0000FF"/>
                              </w:rPr>
                            </m:ctrlPr>
                          </m:fPr>
                          <m:num>
                            <m:r>
                              <m:rPr>
                                <m:nor/>
                              </m:rPr>
                              <w:rPr>
                                <w:color w:val="0000FF"/>
                              </w:rPr>
                              <m:t>d</m:t>
                            </m:r>
                            <m:r>
                              <m:rPr>
                                <m:sty m:val="p"/>
                              </m:rPr>
                              <w:rPr>
                                <w:rFonts w:ascii="Cambria Math" w:hAnsi="Cambria Math"/>
                                <w:color w:val="0000FF"/>
                              </w:rPr>
                              <m:t>-</m:t>
                            </m:r>
                            <m:r>
                              <m:rPr>
                                <m:nor/>
                              </m:rPr>
                              <w:rPr>
                                <w:color w:val="0000FF"/>
                              </w:rPr>
                              <m:t>20000</m:t>
                            </m:r>
                          </m:num>
                          <m:den>
                            <m:r>
                              <m:rPr>
                                <m:nor/>
                              </m:rPr>
                              <w:rPr>
                                <w:color w:val="0000FF"/>
                              </w:rPr>
                              <m:t>6666.66</m:t>
                            </m:r>
                          </m:den>
                        </m:f>
                      </m:e>
                    </m:d>
                    <m:r>
                      <w:rPr>
                        <w:rFonts w:ascii="Cambria Math" w:hAnsi="Cambria Math"/>
                        <w:color w:val="0000FF"/>
                      </w:rPr>
                      <m:t xml:space="preserve"> </m:t>
                    </m:r>
                  </m:e>
                </m:d>
              </m:oMath>
            </m:oMathPara>
          </w:p>
          <w:p w:rsidR="00EF4EC1" w:rsidRPr="00CF5341" w:rsidRDefault="00EF4EC1" w:rsidP="00EF4EC1">
            <w:pPr>
              <w:pStyle w:val="SlideEquation"/>
              <w:spacing w:before="0"/>
              <w:rPr>
                <w:noProof/>
                <w:color w:val="0000FF"/>
              </w:rPr>
            </w:pPr>
            <w:r w:rsidRPr="00C91EFA">
              <w:rPr>
                <w:bCs/>
                <w:color w:val="FF0000"/>
              </w:rPr>
              <w:t>(rounded to 2 decimal places)</w:t>
            </w:r>
          </w:p>
          <w:p w:rsidR="00EF4EC1" w:rsidRPr="005737C9" w:rsidRDefault="00EF4EC1" w:rsidP="00EF4EC1">
            <w:pPr>
              <w:pStyle w:val="Slide4"/>
              <w:ind w:left="1134"/>
              <w:rPr>
                <w:color w:val="0000FF"/>
              </w:rPr>
            </w:pPr>
            <w:r w:rsidRPr="005737C9">
              <w:rPr>
                <w:color w:val="0000FF"/>
              </w:rPr>
              <w:t>where:</w:t>
            </w:r>
          </w:p>
          <w:p w:rsidR="00EF4EC1" w:rsidRPr="005737C9" w:rsidRDefault="00EF4EC1" w:rsidP="00EF4EC1">
            <w:pPr>
              <w:pStyle w:val="Slide4"/>
              <w:tabs>
                <w:tab w:val="right" w:pos="1588"/>
              </w:tabs>
              <w:ind w:left="1134"/>
              <w:rPr>
                <w:color w:val="0000FF"/>
              </w:rPr>
            </w:pPr>
            <w:r w:rsidRPr="005737C9">
              <w:rPr>
                <w:color w:val="0000FF"/>
              </w:rPr>
              <w:t>d</w:t>
            </w:r>
            <w:r w:rsidRPr="005737C9">
              <w:rPr>
                <w:color w:val="0000FF"/>
              </w:rPr>
              <w:tab/>
              <w:t>=</w:t>
            </w:r>
            <w:r w:rsidRPr="005737C9">
              <w:rPr>
                <w:color w:val="0000FF"/>
              </w:rPr>
              <w:tab/>
              <w:t xml:space="preserve"> dutiable value.</w:t>
            </w:r>
          </w:p>
        </w:tc>
      </w:tr>
    </w:tbl>
    <w:p w:rsidR="00EF4EC1" w:rsidRPr="00B87EC6" w:rsidRDefault="00EF4EC1" w:rsidP="00EF4EC1">
      <w:pPr>
        <w:pStyle w:val="Normaltext1"/>
      </w:pPr>
      <w:r w:rsidRPr="00B87EC6">
        <w:t>If a calculation is written in words, the rounding requirements can be incorporated into the text. But again, the need to do so may add sufficient complexity to the wording to justify using a formula (see example 4).</w:t>
      </w:r>
    </w:p>
    <w:p w:rsidR="00EF4EC1" w:rsidRPr="00C87EB4" w:rsidRDefault="00EF4EC1" w:rsidP="00EF4EC1">
      <w:pPr>
        <w:pStyle w:val="Heading4"/>
      </w:pPr>
      <w:bookmarkStart w:id="120" w:name="_Toc477006914"/>
      <w:bookmarkStart w:id="121" w:name="_Toc477006974"/>
      <w:bookmarkStart w:id="122" w:name="_Toc477159612"/>
      <w:r w:rsidRPr="00C87EB4">
        <w:lastRenderedPageBreak/>
        <w:t>Ascertaining the value of variables – when, how</w:t>
      </w:r>
      <w:r>
        <w:t xml:space="preserve"> and</w:t>
      </w:r>
      <w:r w:rsidRPr="00C87EB4">
        <w:t xml:space="preserve"> </w:t>
      </w:r>
      <w:r>
        <w:t xml:space="preserve">by </w:t>
      </w:r>
      <w:r w:rsidRPr="00C87EB4">
        <w:t>who</w:t>
      </w:r>
      <w:bookmarkEnd w:id="120"/>
      <w:bookmarkEnd w:id="121"/>
      <w:bookmarkEnd w:id="122"/>
      <w:r>
        <w:t>m</w:t>
      </w:r>
    </w:p>
    <w:p w:rsidR="00EF4EC1" w:rsidRPr="00B87EC6" w:rsidRDefault="00EF4EC1" w:rsidP="00EF4EC1">
      <w:pPr>
        <w:pStyle w:val="Normaltext1"/>
      </w:pPr>
      <w:r w:rsidRPr="00B87EC6">
        <w:t>When, how</w:t>
      </w:r>
      <w:r>
        <w:t xml:space="preserve"> and</w:t>
      </w:r>
      <w:r w:rsidRPr="00B87EC6">
        <w:t xml:space="preserve"> by whom the value of a variable is to be ascertained also needs to be considered.</w:t>
      </w:r>
      <w:r>
        <w:t xml:space="preserve"> </w:t>
      </w:r>
    </w:p>
    <w:p w:rsidR="00EF4EC1" w:rsidRPr="00B87EC6" w:rsidRDefault="00EF4EC1" w:rsidP="00EF4EC1">
      <w:pPr>
        <w:pStyle w:val="Normaltext1"/>
      </w:pPr>
      <w:r w:rsidRPr="00B87EC6">
        <w:t>A calculation made in accordance with legislation will be made at the time the provision operates. The value of each variable will also be the value at that time. If the value of a variable is to be calculated as at some other time, this must be stated.</w:t>
      </w:r>
    </w:p>
    <w:p w:rsidR="00EF4EC1" w:rsidRPr="00187FD2" w:rsidRDefault="00EF4EC1" w:rsidP="00EF4EC1">
      <w:pPr>
        <w:pStyle w:val="Slidelabel"/>
      </w:pPr>
      <w:r w:rsidRPr="00187FD2">
        <w:t>Time of determination of variables</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5737C9" w:rsidRDefault="00EF4EC1" w:rsidP="00EF4EC1">
            <w:pPr>
              <w:pStyle w:val="Slide1"/>
              <w:keepNext w:val="0"/>
              <w:rPr>
                <w:color w:val="0000FF"/>
              </w:rPr>
            </w:pPr>
            <w:r w:rsidRPr="005737C9">
              <w:rPr>
                <w:color w:val="0000FF"/>
              </w:rPr>
              <w:t>75</w:t>
            </w:r>
            <w:r w:rsidRPr="005737C9">
              <w:rPr>
                <w:bCs/>
                <w:snapToGrid w:val="0"/>
                <w:color w:val="0000FF"/>
              </w:rPr>
              <w:tab/>
              <w:t>Minister may transfer Crown land in fee simple subject to conditions</w:t>
            </w:r>
          </w:p>
          <w:p w:rsidR="00EF4EC1" w:rsidRDefault="00EF4EC1" w:rsidP="00EF4EC1">
            <w:pPr>
              <w:pStyle w:val="Slide2"/>
              <w:rPr>
                <w:color w:val="0000FF"/>
              </w:rPr>
            </w:pPr>
            <w:r w:rsidRPr="005737C9">
              <w:rPr>
                <w:color w:val="0000FF"/>
              </w:rPr>
              <w:tab/>
              <w:t>If conditional tenure land is used in breach of any condition … the Minister may recover from the holder of the freehold in the land …:</w:t>
            </w:r>
          </w:p>
          <w:p w:rsidR="00EF4EC1" w:rsidRPr="005737C9" w:rsidRDefault="00EF4EC1" w:rsidP="00EF4EC1">
            <w:pPr>
              <w:pStyle w:val="Slide3"/>
              <w:keepNext/>
              <w:tabs>
                <w:tab w:val="clear" w:pos="1021"/>
              </w:tabs>
              <w:rPr>
                <w:color w:val="0000FF"/>
              </w:rPr>
            </w:pPr>
            <w:r w:rsidRPr="005737C9">
              <w:rPr>
                <w:color w:val="0000FF"/>
              </w:rPr>
              <w:t>(a)</w:t>
            </w:r>
            <w:r w:rsidRPr="005737C9">
              <w:rPr>
                <w:color w:val="0000FF"/>
              </w:rPr>
              <w:tab/>
              <w:t>if the fee simple .. was transferred under section 73 for a discounted price, an amount calculated using the following formula:</w:t>
            </w:r>
          </w:p>
          <w:p w:rsidR="00EF4EC1" w:rsidRPr="005737C9" w:rsidRDefault="00EF4EC1" w:rsidP="00EF4EC1">
            <w:pPr>
              <w:pStyle w:val="SlideEquation"/>
              <w:ind w:left="1134"/>
              <w:rPr>
                <w:color w:val="0000FF"/>
                <w:oMath/>
              </w:rPr>
            </w:pPr>
            <m:oMathPara>
              <m:oMathParaPr>
                <m:jc m:val="left"/>
              </m:oMathParaPr>
              <m:oMath>
                <m:r>
                  <m:rPr>
                    <m:nor/>
                  </m:rPr>
                  <w:rPr>
                    <w:color w:val="0000FF"/>
                  </w:rPr>
                  <m:t>a</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color w:val="0000FF"/>
                      </w:rPr>
                    </m:ctrlPr>
                  </m:dPr>
                  <m:e>
                    <m:f>
                      <m:fPr>
                        <m:ctrlPr>
                          <w:rPr>
                            <w:rFonts w:ascii="Cambria Math" w:hAnsi="Cambria Math"/>
                            <w:i/>
                            <w:color w:val="0000FF"/>
                          </w:rPr>
                        </m:ctrlPr>
                      </m:fPr>
                      <m:num>
                        <m:d>
                          <m:dPr>
                            <m:ctrlPr>
                              <w:rPr>
                                <w:rFonts w:ascii="Cambria Math" w:hAnsi="Cambria Math"/>
                                <w:i/>
                                <w:color w:val="0000FF"/>
                              </w:rPr>
                            </m:ctrlPr>
                          </m:dPr>
                          <m:e>
                            <m:r>
                              <m:rPr>
                                <m:nor/>
                              </m:rPr>
                              <w:rPr>
                                <w:color w:val="0000FF"/>
                              </w:rPr>
                              <m:t>v</m:t>
                            </m:r>
                            <m:r>
                              <m:rPr>
                                <m:sty m:val="p"/>
                              </m:rPr>
                              <w:rPr>
                                <w:rFonts w:ascii="Cambria Math" w:hAnsi="Cambria Math"/>
                                <w:color w:val="0000FF"/>
                              </w:rPr>
                              <m:t>-</m:t>
                            </m:r>
                            <m:r>
                              <m:rPr>
                                <m:nor/>
                              </m:rPr>
                              <w:rPr>
                                <w:color w:val="0000FF"/>
                              </w:rPr>
                              <m:t>d</m:t>
                            </m:r>
                          </m:e>
                        </m:d>
                      </m:num>
                      <m:den>
                        <m:r>
                          <m:rPr>
                            <m:nor/>
                          </m:rPr>
                          <w:rPr>
                            <w:color w:val="0000FF"/>
                          </w:rPr>
                          <m:t>v</m:t>
                        </m:r>
                      </m:den>
                    </m:f>
                  </m:e>
                </m:d>
                <m:r>
                  <m:rPr>
                    <m:nor/>
                  </m:rPr>
                  <w:rPr>
                    <w:rFonts w:ascii="Cambria Math"/>
                    <w:color w:val="0000FF"/>
                  </w:rPr>
                  <m:t xml:space="preserve"> </m:t>
                </m:r>
                <m:r>
                  <m:rPr>
                    <m:nor/>
                  </m:rPr>
                  <w:rPr>
                    <w:rFonts w:ascii="Cambria Math" w:hAnsi="Cambria Math"/>
                    <w:color w:val="0000FF"/>
                  </w:rPr>
                  <m:t>×</m:t>
                </m:r>
                <m:r>
                  <m:rPr>
                    <m:nor/>
                  </m:rPr>
                  <w:rPr>
                    <w:color w:val="0000FF"/>
                  </w:rPr>
                  <m:t xml:space="preserve"> r</m:t>
                </m:r>
              </m:oMath>
            </m:oMathPara>
          </w:p>
          <w:p w:rsidR="00EF4EC1" w:rsidRPr="005737C9" w:rsidRDefault="00EF4EC1" w:rsidP="00EF4EC1">
            <w:pPr>
              <w:pStyle w:val="Slide4"/>
              <w:rPr>
                <w:color w:val="0000FF"/>
              </w:rPr>
            </w:pPr>
            <w:r w:rsidRPr="005737C9">
              <w:rPr>
                <w:color w:val="0000FF"/>
              </w:rPr>
              <w:t>where:</w:t>
            </w:r>
          </w:p>
          <w:p w:rsidR="00EF4EC1" w:rsidRPr="005737C9" w:rsidRDefault="00EF4EC1" w:rsidP="00EF4EC1">
            <w:pPr>
              <w:pStyle w:val="Slide4"/>
              <w:tabs>
                <w:tab w:val="right" w:pos="1588"/>
              </w:tabs>
              <w:rPr>
                <w:color w:val="0000FF"/>
              </w:rPr>
            </w:pPr>
            <w:r w:rsidRPr="005737C9">
              <w:rPr>
                <w:color w:val="0000FF"/>
              </w:rPr>
              <w:t>a</w:t>
            </w:r>
            <w:r w:rsidRPr="005737C9">
              <w:rPr>
                <w:color w:val="0000FF"/>
              </w:rPr>
              <w:tab/>
              <w:t>=</w:t>
            </w:r>
            <w:r w:rsidRPr="005737C9">
              <w:rPr>
                <w:color w:val="0000FF"/>
              </w:rPr>
              <w:tab/>
              <w:t>amount the Minister may recover</w:t>
            </w:r>
          </w:p>
          <w:p w:rsidR="00EF4EC1" w:rsidRPr="005737C9" w:rsidRDefault="00EF4EC1" w:rsidP="00EF4EC1">
            <w:pPr>
              <w:pStyle w:val="Slide4"/>
              <w:tabs>
                <w:tab w:val="right" w:pos="1588"/>
              </w:tabs>
              <w:rPr>
                <w:color w:val="0000FF"/>
              </w:rPr>
            </w:pPr>
            <w:r w:rsidRPr="005737C9">
              <w:rPr>
                <w:color w:val="0000FF"/>
              </w:rPr>
              <w:t>v</w:t>
            </w:r>
            <w:r w:rsidRPr="005737C9">
              <w:rPr>
                <w:color w:val="0000FF"/>
              </w:rPr>
              <w:tab/>
              <w:t>=</w:t>
            </w:r>
            <w:r w:rsidRPr="005737C9">
              <w:rPr>
                <w:color w:val="0000FF"/>
              </w:rPr>
              <w:tab/>
              <w:t xml:space="preserve">unimproved value of the land </w:t>
            </w:r>
            <w:r w:rsidRPr="00597755">
              <w:rPr>
                <w:color w:val="FF0000"/>
              </w:rPr>
              <w:t>at the time the discounted price was paid</w:t>
            </w:r>
          </w:p>
          <w:p w:rsidR="00EF4EC1" w:rsidRPr="005737C9" w:rsidRDefault="00EF4EC1" w:rsidP="00EF4EC1">
            <w:pPr>
              <w:pStyle w:val="Slide4"/>
              <w:tabs>
                <w:tab w:val="right" w:pos="1588"/>
              </w:tabs>
              <w:rPr>
                <w:color w:val="0000FF"/>
              </w:rPr>
            </w:pPr>
            <w:r w:rsidRPr="005737C9">
              <w:rPr>
                <w:color w:val="0000FF"/>
              </w:rPr>
              <w:t>d</w:t>
            </w:r>
            <w:r w:rsidRPr="005737C9">
              <w:rPr>
                <w:color w:val="0000FF"/>
              </w:rPr>
              <w:tab/>
              <w:t>=</w:t>
            </w:r>
            <w:r w:rsidRPr="005737C9">
              <w:rPr>
                <w:color w:val="0000FF"/>
              </w:rPr>
              <w:tab/>
              <w:t>discounted price</w:t>
            </w:r>
          </w:p>
          <w:p w:rsidR="00EF4EC1" w:rsidRPr="005737C9" w:rsidRDefault="00EF4EC1" w:rsidP="00EF4EC1">
            <w:pPr>
              <w:pStyle w:val="Slide4"/>
              <w:tabs>
                <w:tab w:val="right" w:pos="1588"/>
              </w:tabs>
              <w:rPr>
                <w:color w:val="0000FF"/>
              </w:rPr>
            </w:pPr>
            <w:r w:rsidRPr="005737C9">
              <w:rPr>
                <w:color w:val="0000FF"/>
              </w:rPr>
              <w:t>r</w:t>
            </w:r>
            <w:r w:rsidRPr="005737C9">
              <w:rPr>
                <w:color w:val="0000FF"/>
              </w:rPr>
              <w:tab/>
              <w:t>=</w:t>
            </w:r>
            <w:r w:rsidRPr="005737C9">
              <w:rPr>
                <w:color w:val="0000FF"/>
              </w:rPr>
              <w:tab/>
              <w:t xml:space="preserve">unimproved value of the </w:t>
            </w:r>
            <w:r w:rsidRPr="00CF5341">
              <w:rPr>
                <w:color w:val="0000FF"/>
              </w:rPr>
              <w:t xml:space="preserve">land </w:t>
            </w:r>
            <w:r w:rsidRPr="00C91EFA">
              <w:rPr>
                <w:bCs/>
                <w:color w:val="FF0000"/>
              </w:rPr>
              <w:t>at the time of the recovery</w:t>
            </w:r>
          </w:p>
        </w:tc>
      </w:tr>
    </w:tbl>
    <w:p w:rsidR="00EF4EC1" w:rsidRPr="00B87EC6" w:rsidRDefault="00EF4EC1" w:rsidP="00EF4EC1">
      <w:pPr>
        <w:pStyle w:val="Normaltext1"/>
      </w:pPr>
      <w:r w:rsidRPr="00B87EC6">
        <w:t>Consideration also needs to be given as to how the value of a variable is to be ascertained.</w:t>
      </w:r>
    </w:p>
    <w:p w:rsidR="00EF4EC1" w:rsidRDefault="00EF4EC1" w:rsidP="00EF4EC1">
      <w:pPr>
        <w:pStyle w:val="Normaltext1"/>
      </w:pPr>
      <w:r w:rsidRPr="00B87EC6">
        <w:t>Sometimes it is self</w:t>
      </w:r>
      <w:r>
        <w:noBreakHyphen/>
      </w:r>
      <w:r w:rsidRPr="00B87EC6">
        <w:t>evident so an explanation is not required – such as the number of wheels on a vehicle. Sometimes the value of the variable is to be found or determined by a process set out elsewhere, in which case reference to that process might be included. In other cases, an explanation of how the value is to be ascertained, and by whom, may be needed.</w:t>
      </w:r>
    </w:p>
    <w:p w:rsidR="00EF4EC1" w:rsidRDefault="00EF4EC1" w:rsidP="00EF4EC1">
      <w:pPr>
        <w:rPr>
          <w:rFonts w:eastAsia="Calibri"/>
          <w:color w:val="000000"/>
          <w:spacing w:val="-3"/>
          <w:szCs w:val="25"/>
          <w:lang w:val="en-CA"/>
        </w:rPr>
      </w:pPr>
      <w:r>
        <w:br w:type="page"/>
      </w:r>
    </w:p>
    <w:p w:rsidR="00EF4EC1" w:rsidRPr="00B87EC6" w:rsidRDefault="00EF4EC1" w:rsidP="00EF4EC1">
      <w:pPr>
        <w:pStyle w:val="Normaltext1"/>
      </w:pPr>
    </w:p>
    <w:p w:rsidR="00EF4EC1" w:rsidRPr="00187FD2" w:rsidRDefault="00EF4EC1" w:rsidP="00EF4EC1">
      <w:pPr>
        <w:pStyle w:val="Slidelabel"/>
      </w:pPr>
      <w:r w:rsidRPr="00187FD2">
        <w:t>How variable is to be determined</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5737C9" w:rsidTr="00EF4EC1">
        <w:tc>
          <w:tcPr>
            <w:tcW w:w="8505" w:type="dxa"/>
            <w:shd w:val="clear" w:color="auto" w:fill="FFFFFF"/>
          </w:tcPr>
          <w:p w:rsidR="00EF4EC1" w:rsidRPr="005737C9" w:rsidRDefault="00EF4EC1" w:rsidP="00EF4EC1">
            <w:pPr>
              <w:pStyle w:val="Slide1"/>
              <w:keepNext w:val="0"/>
              <w:rPr>
                <w:color w:val="0000FF"/>
              </w:rPr>
            </w:pPr>
            <w:r w:rsidRPr="005737C9">
              <w:rPr>
                <w:color w:val="0000FF"/>
              </w:rPr>
              <w:t>12</w:t>
            </w:r>
            <w:r w:rsidRPr="005737C9">
              <w:rPr>
                <w:color w:val="0000FF"/>
              </w:rPr>
              <w:tab/>
            </w:r>
            <w:r w:rsidRPr="005737C9">
              <w:rPr>
                <w:bCs/>
                <w:color w:val="0000FF"/>
              </w:rPr>
              <w:t>Determination of amount of levy</w:t>
            </w:r>
          </w:p>
          <w:p w:rsidR="00EF4EC1" w:rsidRPr="005737C9" w:rsidRDefault="00EF4EC1" w:rsidP="00EF4EC1">
            <w:pPr>
              <w:pStyle w:val="Slide2"/>
              <w:rPr>
                <w:color w:val="0000FF"/>
              </w:rPr>
            </w:pPr>
            <w:r w:rsidRPr="005737C9">
              <w:rPr>
                <w:color w:val="0000FF"/>
              </w:rPr>
              <w:tab/>
              <w:t>The amount by way of levy that is payable in respect of waste to which this Part applies that is received at a licensed landfill during a return period is the amount calculated using the formula:</w:t>
            </w:r>
          </w:p>
          <w:p w:rsidR="00EF4EC1" w:rsidRPr="005737C9" w:rsidRDefault="00EF4EC1" w:rsidP="00EF4EC1">
            <w:pPr>
              <w:pStyle w:val="SlideEquation"/>
              <w:rPr>
                <w:rFonts w:ascii="Cambria Math" w:hAnsi="Cambria Math"/>
                <w:color w:val="0000FF"/>
                <w:oMath/>
              </w:rPr>
            </w:pPr>
            <m:oMathPara>
              <m:oMathParaPr>
                <m:jc m:val="left"/>
              </m:oMathParaPr>
              <m:oMath>
                <m:r>
                  <m:rPr>
                    <m:nor/>
                  </m:rPr>
                  <w:rPr>
                    <w:color w:val="0000FF"/>
                  </w:rPr>
                  <m:t>a</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color w:val="0000FF"/>
                      </w:rPr>
                    </m:ctrlPr>
                  </m:dPr>
                  <m:e>
                    <m:r>
                      <m:rPr>
                        <m:nor/>
                      </m:rPr>
                      <w:rPr>
                        <w:color w:val="0000FF"/>
                      </w:rPr>
                      <m:t>v</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r</m:t>
                    </m:r>
                  </m:e>
                </m:d>
                <m:r>
                  <m:rPr>
                    <m:sty m:val="p"/>
                  </m:rPr>
                  <w:rPr>
                    <w:rFonts w:ascii="Cambria Math" w:hAnsi="Cambria Math"/>
                    <w:color w:val="0000FF"/>
                  </w:rPr>
                  <m:t>-</m:t>
                </m:r>
                <m:r>
                  <m:rPr>
                    <m:nor/>
                  </m:rPr>
                  <w:rPr>
                    <w:color w:val="0000FF"/>
                  </w:rPr>
                  <m:t>s</m:t>
                </m:r>
              </m:oMath>
            </m:oMathPara>
          </w:p>
          <w:p w:rsidR="00EF4EC1" w:rsidRPr="005737C9" w:rsidRDefault="00EF4EC1" w:rsidP="00EF4EC1">
            <w:pPr>
              <w:pStyle w:val="Slide3"/>
              <w:rPr>
                <w:color w:val="0000FF"/>
              </w:rPr>
            </w:pPr>
            <w:r w:rsidRPr="005737C9">
              <w:rPr>
                <w:color w:val="0000FF"/>
              </w:rPr>
              <w:t>where:</w:t>
            </w:r>
            <w:r>
              <w:rPr>
                <w:noProof/>
                <w:snapToGrid/>
                <w:color w:val="0000FF"/>
                <w:lang w:eastAsia="en-NZ"/>
              </w:rPr>
              <w:t xml:space="preserve"> </w:t>
            </w:r>
          </w:p>
          <w:p w:rsidR="00EF4EC1" w:rsidRDefault="00EF4EC1" w:rsidP="00EF4EC1">
            <w:pPr>
              <w:pStyle w:val="Slide3"/>
              <w:rPr>
                <w:color w:val="0000FF"/>
              </w:rPr>
            </w:pPr>
            <w:r w:rsidRPr="005737C9">
              <w:rPr>
                <w:color w:val="0000FF"/>
              </w:rPr>
              <w:t>a</w:t>
            </w:r>
            <w:r w:rsidRPr="005737C9">
              <w:rPr>
                <w:color w:val="0000FF"/>
              </w:rPr>
              <w:tab/>
              <w:t>=</w:t>
            </w:r>
            <w:r w:rsidRPr="005737C9">
              <w:rPr>
                <w:color w:val="0000FF"/>
              </w:rPr>
              <w:tab/>
              <w:t>amount of levy (in dollars)</w:t>
            </w:r>
          </w:p>
          <w:p w:rsidR="00EF4EC1" w:rsidRPr="00172784" w:rsidRDefault="00EF4EC1" w:rsidP="00EF4EC1">
            <w:pPr>
              <w:pStyle w:val="Slide3"/>
              <w:rPr>
                <w:color w:val="0000FF"/>
              </w:rPr>
            </w:pPr>
            <w:r w:rsidRPr="005737C9">
              <w:rPr>
                <w:color w:val="0000FF"/>
              </w:rPr>
              <w:t>v</w:t>
            </w:r>
            <w:r w:rsidRPr="005737C9">
              <w:rPr>
                <w:color w:val="0000FF"/>
              </w:rPr>
              <w:tab/>
              <w:t>=</w:t>
            </w:r>
            <w:r w:rsidRPr="005737C9">
              <w:rPr>
                <w:color w:val="0000FF"/>
              </w:rPr>
              <w:tab/>
              <w:t xml:space="preserve">number of cubic metres of waste received at the landfill during the return period </w:t>
            </w:r>
            <w:r w:rsidRPr="00172784">
              <w:rPr>
                <w:color w:val="0000FF"/>
              </w:rPr>
              <w:t xml:space="preserve">determined </w:t>
            </w:r>
            <w:r w:rsidRPr="00C91EFA">
              <w:rPr>
                <w:color w:val="FF0000"/>
              </w:rPr>
              <w:t xml:space="preserve">in </w:t>
            </w:r>
            <w:r w:rsidRPr="00C91EFA">
              <w:rPr>
                <w:bCs/>
                <w:color w:val="FF0000"/>
              </w:rPr>
              <w:t>accordance with regulation 26</w:t>
            </w:r>
          </w:p>
          <w:p w:rsidR="00EF4EC1" w:rsidRPr="005737C9" w:rsidRDefault="00EF4EC1" w:rsidP="00EF4EC1">
            <w:pPr>
              <w:pStyle w:val="Slide3"/>
              <w:rPr>
                <w:color w:val="0000FF"/>
              </w:rPr>
            </w:pPr>
            <w:r w:rsidRPr="005737C9">
              <w:rPr>
                <w:color w:val="0000FF"/>
              </w:rPr>
              <w:t>r</w:t>
            </w:r>
            <w:r w:rsidRPr="005737C9">
              <w:rPr>
                <w:color w:val="0000FF"/>
              </w:rPr>
              <w:tab/>
              <w:t>=</w:t>
            </w:r>
            <w:r w:rsidRPr="005737C9">
              <w:rPr>
                <w:color w:val="0000FF"/>
              </w:rPr>
              <w:tab/>
              <w:t>if first day of return period is</w:t>
            </w:r>
            <w:r>
              <w:rPr>
                <w:color w:val="0000FF"/>
              </w:rPr>
              <w:t xml:space="preserve"> </w:t>
            </w:r>
            <w:r w:rsidRPr="005737C9">
              <w:rPr>
                <w:color w:val="0000FF"/>
              </w:rPr>
              <w:t>before 1 July 2010,</w:t>
            </w:r>
            <w:r>
              <w:rPr>
                <w:color w:val="0000FF"/>
              </w:rPr>
              <w:t xml:space="preserve"> then r = 7</w:t>
            </w:r>
          </w:p>
          <w:p w:rsidR="00EF4EC1" w:rsidRPr="005737C9" w:rsidRDefault="00EF4EC1" w:rsidP="00EF4EC1">
            <w:pPr>
              <w:pStyle w:val="Slide4"/>
              <w:rPr>
                <w:color w:val="0000FF"/>
              </w:rPr>
            </w:pPr>
            <w:r>
              <w:rPr>
                <w:color w:val="0000FF"/>
              </w:rPr>
              <w:t xml:space="preserve">otherwise, r = </w:t>
            </w:r>
            <w:r w:rsidRPr="005737C9">
              <w:rPr>
                <w:color w:val="0000FF"/>
              </w:rPr>
              <w:t>9</w:t>
            </w:r>
          </w:p>
          <w:p w:rsidR="00EF4EC1" w:rsidRPr="005737C9" w:rsidRDefault="00EF4EC1" w:rsidP="00EF4EC1">
            <w:pPr>
              <w:pStyle w:val="Slide3"/>
              <w:rPr>
                <w:color w:val="0000FF"/>
              </w:rPr>
            </w:pPr>
            <w:r w:rsidRPr="005737C9">
              <w:rPr>
                <w:color w:val="0000FF"/>
              </w:rPr>
              <w:t>s</w:t>
            </w:r>
            <w:r w:rsidRPr="005737C9">
              <w:rPr>
                <w:color w:val="0000FF"/>
              </w:rPr>
              <w:tab/>
              <w:t>=</w:t>
            </w:r>
            <w:r w:rsidRPr="005737C9">
              <w:rPr>
                <w:color w:val="0000FF"/>
              </w:rPr>
              <w:tab/>
              <w:t>amount</w:t>
            </w:r>
            <w:r w:rsidRPr="005737C9">
              <w:rPr>
                <w:b/>
                <w:bCs/>
                <w:color w:val="0000FF"/>
              </w:rPr>
              <w:t xml:space="preserve"> </w:t>
            </w:r>
            <w:r w:rsidRPr="00C91EFA">
              <w:rPr>
                <w:bCs/>
                <w:color w:val="FF0000"/>
              </w:rPr>
              <w:t>determined by the Director</w:t>
            </w:r>
            <w:r>
              <w:rPr>
                <w:bCs/>
                <w:color w:val="FF0000"/>
              </w:rPr>
              <w:noBreakHyphen/>
            </w:r>
            <w:r w:rsidRPr="00C91EFA">
              <w:rPr>
                <w:bCs/>
                <w:color w:val="FF0000"/>
              </w:rPr>
              <w:t>General</w:t>
            </w:r>
            <w:r w:rsidRPr="00C91EFA">
              <w:rPr>
                <w:b/>
                <w:bCs/>
                <w:color w:val="FF0000"/>
              </w:rPr>
              <w:t xml:space="preserve"> </w:t>
            </w:r>
            <w:r w:rsidRPr="005737C9">
              <w:rPr>
                <w:bCs/>
                <w:color w:val="0000FF"/>
              </w:rPr>
              <w:t>to be the</w:t>
            </w:r>
            <w:r w:rsidRPr="005737C9">
              <w:rPr>
                <w:b/>
                <w:bCs/>
                <w:color w:val="0000FF"/>
              </w:rPr>
              <w:t xml:space="preserve"> </w:t>
            </w:r>
            <w:r w:rsidRPr="005737C9">
              <w:rPr>
                <w:color w:val="0000FF"/>
              </w:rPr>
              <w:t>costs reasonably incurred by the licensee in complying with regulation 27 during the return period.</w:t>
            </w:r>
          </w:p>
        </w:tc>
      </w:tr>
    </w:tbl>
    <w:p w:rsidR="00EF4EC1" w:rsidRPr="00B87EC6" w:rsidRDefault="00EF4EC1" w:rsidP="00EF4EC1">
      <w:pPr>
        <w:pStyle w:val="Normaltext1"/>
      </w:pPr>
      <w:r w:rsidRPr="00B87EC6">
        <w:t>In this regard, remember that the monetary value of something is not a matter of fact – it has to be determined by someone, and it changes over time.</w:t>
      </w:r>
    </w:p>
    <w:p w:rsidR="00EF4EC1" w:rsidRPr="00C87EB4" w:rsidRDefault="00EF4EC1" w:rsidP="00EF4EC1">
      <w:pPr>
        <w:pStyle w:val="Heading4"/>
      </w:pPr>
      <w:bookmarkStart w:id="123" w:name="_Toc477006915"/>
      <w:bookmarkStart w:id="124" w:name="_Toc477006975"/>
      <w:bookmarkStart w:id="125" w:name="_Toc477159613"/>
      <w:r w:rsidRPr="00C87EB4">
        <w:t xml:space="preserve">Negative </w:t>
      </w:r>
      <w:r>
        <w:t>values</w:t>
      </w:r>
      <w:bookmarkEnd w:id="123"/>
      <w:bookmarkEnd w:id="124"/>
      <w:bookmarkEnd w:id="125"/>
    </w:p>
    <w:p w:rsidR="00EF4EC1" w:rsidRPr="00B87EC6" w:rsidRDefault="00EF4EC1" w:rsidP="00EF4EC1">
      <w:pPr>
        <w:pStyle w:val="Normaltext1"/>
      </w:pPr>
      <w:r w:rsidRPr="00B87EC6">
        <w:t>The possibility of negative or zero values for each variable, each component of the calculation</w:t>
      </w:r>
      <w:r>
        <w:t xml:space="preserve"> and</w:t>
      </w:r>
      <w:r w:rsidRPr="00B87EC6">
        <w:t xml:space="preserve"> for the result also needs to be considered.</w:t>
      </w:r>
    </w:p>
    <w:p w:rsidR="00EF4EC1" w:rsidRPr="00B87EC6" w:rsidRDefault="00EF4EC1" w:rsidP="00EF4EC1">
      <w:pPr>
        <w:pStyle w:val="Normaltext1"/>
      </w:pPr>
      <w:r w:rsidRPr="00B87EC6">
        <w:t>For variables, the first question is whether what is represented by the variable is capable of having a negative value. Clearly, you cannot have a negative number of people or period of time. But if a variable is something that is capable of being negative, how that is to be dealt with needs to be considered.</w:t>
      </w:r>
    </w:p>
    <w:p w:rsidR="00EF4EC1" w:rsidRPr="00B87EC6" w:rsidRDefault="00EF4EC1" w:rsidP="00EF4EC1">
      <w:pPr>
        <w:pStyle w:val="Normaltext1"/>
      </w:pPr>
      <w:r w:rsidRPr="00B87EC6">
        <w:t>For example, if the calculation includes a variable for temperature, what is intended to be included in the equation if the temperature is negative? It might be, for example:</w:t>
      </w:r>
    </w:p>
    <w:p w:rsidR="00EF4EC1" w:rsidRPr="00B87EC6" w:rsidRDefault="00EF4EC1" w:rsidP="00EF4EC1">
      <w:pPr>
        <w:pStyle w:val="Bullet1"/>
      </w:pPr>
      <w:r w:rsidRPr="00B87EC6">
        <w:t>the actual temperature, whether positive, negative, or zero</w:t>
      </w:r>
    </w:p>
    <w:p w:rsidR="00EF4EC1" w:rsidRPr="00B87EC6" w:rsidRDefault="00EF4EC1" w:rsidP="00EF4EC1">
      <w:pPr>
        <w:pStyle w:val="Bullet1"/>
      </w:pPr>
      <w:r w:rsidRPr="00B87EC6">
        <w:t>the amount, if any, by which the temperature exceeds zero (so that if the temperature is negative, the value for the variable is zero)</w:t>
      </w:r>
    </w:p>
    <w:p w:rsidR="00EF4EC1" w:rsidRPr="00B87EC6" w:rsidRDefault="00EF4EC1" w:rsidP="00EF4EC1">
      <w:pPr>
        <w:pStyle w:val="Bullet1"/>
      </w:pPr>
      <w:r w:rsidRPr="00B87EC6">
        <w:t>the amount of the difference between zero and the temperature (so that if the temperature is</w:t>
      </w:r>
      <w:r>
        <w:t xml:space="preserve"> -</w:t>
      </w:r>
      <w:r w:rsidRPr="00B87EC6">
        <w:t>10, the value of the variable is 10).</w:t>
      </w:r>
    </w:p>
    <w:p w:rsidR="00EF4EC1" w:rsidRPr="00B87EC6" w:rsidRDefault="00EF4EC1" w:rsidP="00EF4EC1">
      <w:pPr>
        <w:pStyle w:val="Normaltext1"/>
      </w:pPr>
      <w:r w:rsidRPr="00B87EC6">
        <w:lastRenderedPageBreak/>
        <w:t xml:space="preserve">Example 19 provides an interesting example where the value for </w:t>
      </w:r>
      <w:r>
        <w:t xml:space="preserve">one </w:t>
      </w:r>
      <w:r w:rsidRPr="00B87EC6">
        <w:t xml:space="preserve">variable </w:t>
      </w:r>
      <w:r>
        <w:t>(‘n’)</w:t>
      </w:r>
      <w:r w:rsidRPr="00B87EC6">
        <w:t xml:space="preserve"> might be positive or negative, and the value of another variable (</w:t>
      </w:r>
      <w:r>
        <w:t>‘</w:t>
      </w:r>
      <w:r w:rsidRPr="00B87EC6">
        <w:t>b</w:t>
      </w:r>
      <w:r>
        <w:t>’</w:t>
      </w:r>
      <w:r w:rsidRPr="00B87EC6">
        <w:t xml:space="preserve">) differs depending on whether </w:t>
      </w:r>
      <w:r>
        <w:t>‘n’</w:t>
      </w:r>
      <w:r w:rsidRPr="00B87EC6">
        <w:t xml:space="preserve"> is positive or negative.</w:t>
      </w:r>
    </w:p>
    <w:p w:rsidR="00EF4EC1" w:rsidRPr="00B87EC6" w:rsidRDefault="00EF4EC1" w:rsidP="00EF4EC1">
      <w:pPr>
        <w:pStyle w:val="Normaltext1"/>
      </w:pPr>
      <w:r w:rsidRPr="00B87EC6">
        <w:t>The possibility of a calculation giving a negative result also needs to be considered.</w:t>
      </w:r>
    </w:p>
    <w:p w:rsidR="00EF4EC1" w:rsidRPr="00B87EC6" w:rsidRDefault="00EF4EC1" w:rsidP="00EF4EC1">
      <w:pPr>
        <w:pStyle w:val="Normaltext1"/>
      </w:pPr>
      <w:r w:rsidRPr="00B87EC6">
        <w:t>For example, if a calculation involves indexing an amount in line with the Consumer Price Index, the possibility that this might give a negative result needs to be borne in mind. In the definition in example 18, paragraph (a) is included so that the CPI rate to be used for the purposes of the regulations cannot be below zero even if the CPI figure calculated using the formula is negative.</w:t>
      </w:r>
    </w:p>
    <w:p w:rsidR="00EF4EC1" w:rsidRPr="00187FD2" w:rsidRDefault="00EF4EC1" w:rsidP="00EF4EC1">
      <w:pPr>
        <w:pStyle w:val="Slidelabel"/>
      </w:pPr>
      <w:bookmarkStart w:id="126" w:name="_Ref475785138"/>
      <w:r w:rsidRPr="00187FD2">
        <w:t>CPI rate not to be negative</w:t>
      </w:r>
      <w:bookmarkEnd w:id="126"/>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c>
          <w:tcPr>
            <w:tcW w:w="8505" w:type="dxa"/>
            <w:shd w:val="clear" w:color="auto" w:fill="FFFFFF"/>
          </w:tcPr>
          <w:p w:rsidR="00EF4EC1" w:rsidRPr="00172784" w:rsidRDefault="00EF4EC1" w:rsidP="00EF4EC1">
            <w:pPr>
              <w:pStyle w:val="Slide1"/>
              <w:keepNext w:val="0"/>
              <w:rPr>
                <w:color w:val="0000FF"/>
              </w:rPr>
            </w:pPr>
            <w:r w:rsidRPr="00172784">
              <w:rPr>
                <w:color w:val="0000FF"/>
              </w:rPr>
              <w:t>5</w:t>
            </w:r>
            <w:r w:rsidRPr="00172784">
              <w:rPr>
                <w:color w:val="0000FF"/>
              </w:rPr>
              <w:tab/>
              <w:t>Interpretation</w:t>
            </w:r>
          </w:p>
          <w:p w:rsidR="00EF4EC1" w:rsidRPr="00172784" w:rsidRDefault="00EF4EC1" w:rsidP="00EF4EC1">
            <w:pPr>
              <w:pStyle w:val="Slide2"/>
              <w:rPr>
                <w:color w:val="0000FF"/>
              </w:rPr>
            </w:pPr>
            <w:r w:rsidRPr="00172784">
              <w:rPr>
                <w:color w:val="0000FF"/>
              </w:rPr>
              <w:tab/>
              <w:t>In these regulations:</w:t>
            </w:r>
          </w:p>
          <w:p w:rsidR="00EF4EC1" w:rsidRPr="00172784" w:rsidRDefault="00EF4EC1" w:rsidP="00EF4EC1">
            <w:pPr>
              <w:pStyle w:val="Slide2"/>
              <w:rPr>
                <w:bCs/>
                <w:color w:val="0000FF"/>
              </w:rPr>
            </w:pPr>
            <w:r w:rsidRPr="00172784">
              <w:rPr>
                <w:color w:val="0000FF"/>
              </w:rPr>
              <w:tab/>
            </w:r>
            <w:r w:rsidRPr="00172784">
              <w:rPr>
                <w:rStyle w:val="CharDefText"/>
                <w:color w:val="0000FF"/>
              </w:rPr>
              <w:t>CPI rate</w:t>
            </w:r>
            <w:r w:rsidRPr="00172784">
              <w:rPr>
                <w:color w:val="0000FF"/>
              </w:rPr>
              <w:t xml:space="preserve">, for a financial year, means </w:t>
            </w:r>
            <w:r w:rsidRPr="00C91EFA">
              <w:rPr>
                <w:bCs/>
                <w:color w:val="FF0000"/>
              </w:rPr>
              <w:t>the greater of</w:t>
            </w:r>
            <w:r w:rsidRPr="00172784">
              <w:rPr>
                <w:bCs/>
                <w:color w:val="0000FF"/>
              </w:rPr>
              <w:t>:</w:t>
            </w:r>
          </w:p>
          <w:p w:rsidR="00EF4EC1" w:rsidRDefault="00EF4EC1" w:rsidP="00EF4EC1">
            <w:pPr>
              <w:pStyle w:val="Slide3"/>
              <w:tabs>
                <w:tab w:val="clear" w:pos="1021"/>
              </w:tabs>
              <w:rPr>
                <w:color w:val="0000FF"/>
              </w:rPr>
            </w:pPr>
            <w:r w:rsidRPr="00172784">
              <w:rPr>
                <w:color w:val="0000FF"/>
              </w:rPr>
              <w:t>(a)</w:t>
            </w:r>
            <w:r w:rsidRPr="00172784">
              <w:rPr>
                <w:color w:val="0000FF"/>
              </w:rPr>
              <w:tab/>
              <w:t>zero; and</w:t>
            </w:r>
          </w:p>
          <w:p w:rsidR="00EF4EC1" w:rsidRPr="00172784" w:rsidRDefault="00EF4EC1" w:rsidP="00EF4EC1">
            <w:pPr>
              <w:pStyle w:val="Slide3"/>
              <w:tabs>
                <w:tab w:val="clear" w:pos="1021"/>
              </w:tabs>
              <w:rPr>
                <w:color w:val="0000FF"/>
              </w:rPr>
            </w:pPr>
            <w:r w:rsidRPr="00172784">
              <w:rPr>
                <w:color w:val="0000FF"/>
              </w:rPr>
              <w:t>(b)</w:t>
            </w:r>
            <w:r w:rsidRPr="00172784">
              <w:rPr>
                <w:color w:val="0000FF"/>
              </w:rPr>
              <w:tab/>
              <w:t>the rate equal to C in the formula:</w:t>
            </w:r>
          </w:p>
          <w:p w:rsidR="00EF4EC1" w:rsidRPr="00172784" w:rsidRDefault="00EF4EC1" w:rsidP="00EF4EC1">
            <w:pPr>
              <w:pStyle w:val="SlideEquation"/>
              <w:ind w:left="1134"/>
              <w:rPr>
                <w:color w:val="0000FF"/>
                <w:oMath/>
              </w:rPr>
            </w:pPr>
            <m:oMathPara>
              <m:oMathParaPr>
                <m:jc m:val="left"/>
              </m:oMathParaPr>
              <m:oMath>
                <m:r>
                  <m:rPr>
                    <m:nor/>
                  </m:rPr>
                  <w:rPr>
                    <w:color w:val="0000FF"/>
                  </w:rPr>
                  <m:t>c</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color w:val="0000FF"/>
                      </w:rPr>
                    </m:ctrlPr>
                  </m:fPr>
                  <m:num>
                    <m:r>
                      <m:rPr>
                        <m:nor/>
                      </m:rPr>
                      <w:rPr>
                        <w:color w:val="0000FF"/>
                      </w:rPr>
                      <m:t xml:space="preserve"> </m:t>
                    </m:r>
                    <m:sSub>
                      <m:sSubPr>
                        <m:ctrlPr>
                          <w:rPr>
                            <w:rFonts w:ascii="Cambria Math" w:hAnsi="Cambria Math"/>
                            <w:color w:val="0000FF"/>
                          </w:rPr>
                        </m:ctrlPr>
                      </m:sSubPr>
                      <m:e>
                        <m:r>
                          <m:rPr>
                            <m:nor/>
                          </m:rPr>
                          <w:rPr>
                            <w:color w:val="0000FF"/>
                          </w:rPr>
                          <m:t>n</m:t>
                        </m:r>
                      </m:e>
                      <m:sub>
                        <m:r>
                          <m:rPr>
                            <m:nor/>
                          </m:rPr>
                          <w:rPr>
                            <w:color w:val="0000FF"/>
                          </w:rPr>
                          <m:t>t</m:t>
                        </m:r>
                      </m:sub>
                    </m:sSub>
                    <m:r>
                      <m:rPr>
                        <m:sty m:val="p"/>
                      </m:rPr>
                      <w:rPr>
                        <w:rFonts w:ascii="Cambria Math" w:hAnsi="Cambria Math"/>
                        <w:color w:val="0000FF"/>
                      </w:rPr>
                      <m:t>-</m:t>
                    </m:r>
                    <m:sSub>
                      <m:sSubPr>
                        <m:ctrlPr>
                          <w:rPr>
                            <w:rFonts w:ascii="Cambria Math" w:hAnsi="Cambria Math"/>
                            <w:color w:val="0000FF"/>
                          </w:rPr>
                        </m:ctrlPr>
                      </m:sSubPr>
                      <m:e>
                        <m:r>
                          <m:rPr>
                            <m:nor/>
                          </m:rPr>
                          <w:rPr>
                            <w:color w:val="0000FF"/>
                          </w:rPr>
                          <m:t>n</m:t>
                        </m:r>
                      </m:e>
                      <m:sub>
                        <m:r>
                          <m:rPr>
                            <m:nor/>
                          </m:rPr>
                          <w:rPr>
                            <w:color w:val="0000FF"/>
                          </w:rPr>
                          <m:t>p</m:t>
                        </m:r>
                      </m:sub>
                    </m:sSub>
                  </m:num>
                  <m:den>
                    <m:sSub>
                      <m:sSubPr>
                        <m:ctrlPr>
                          <w:rPr>
                            <w:rFonts w:ascii="Cambria Math" w:hAnsi="Cambria Math"/>
                            <w:color w:val="0000FF"/>
                          </w:rPr>
                        </m:ctrlPr>
                      </m:sSubPr>
                      <m:e>
                        <m:r>
                          <m:rPr>
                            <m:nor/>
                          </m:rPr>
                          <w:rPr>
                            <w:color w:val="0000FF"/>
                          </w:rPr>
                          <m:t>n</m:t>
                        </m:r>
                      </m:e>
                      <m:sub>
                        <m:r>
                          <m:rPr>
                            <m:nor/>
                          </m:rPr>
                          <w:rPr>
                            <w:color w:val="0000FF"/>
                          </w:rPr>
                          <m:t>p</m:t>
                        </m:r>
                      </m:sub>
                    </m:sSub>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100</m:t>
                </m:r>
              </m:oMath>
            </m:oMathPara>
          </w:p>
          <w:p w:rsidR="00EF4EC1" w:rsidRPr="00172784" w:rsidRDefault="00EF4EC1" w:rsidP="00EF4EC1">
            <w:pPr>
              <w:pStyle w:val="Slide4"/>
              <w:rPr>
                <w:color w:val="0000FF"/>
              </w:rPr>
            </w:pPr>
            <w:r w:rsidRPr="00172784">
              <w:rPr>
                <w:color w:val="0000FF"/>
              </w:rPr>
              <w:t>where:</w:t>
            </w:r>
          </w:p>
          <w:p w:rsidR="00EF4EC1" w:rsidRDefault="00EF4EC1" w:rsidP="00EF4EC1">
            <w:pPr>
              <w:pStyle w:val="Slide4"/>
              <w:tabs>
                <w:tab w:val="right" w:pos="1588"/>
              </w:tabs>
              <w:rPr>
                <w:color w:val="0000FF"/>
              </w:rPr>
            </w:pPr>
            <w:r w:rsidRPr="00172784">
              <w:rPr>
                <w:color w:val="0000FF"/>
              </w:rPr>
              <w:t>n</w:t>
            </w:r>
            <w:r w:rsidRPr="00172784">
              <w:rPr>
                <w:color w:val="0000FF"/>
                <w:vertAlign w:val="subscript"/>
              </w:rPr>
              <w:t>t</w:t>
            </w:r>
            <w:r w:rsidRPr="00172784">
              <w:rPr>
                <w:color w:val="0000FF"/>
              </w:rPr>
              <w:tab/>
              <w:t>=</w:t>
            </w:r>
            <w:r w:rsidRPr="00172784">
              <w:rPr>
                <w:color w:val="0000FF"/>
              </w:rPr>
              <w:tab/>
              <w:t>Consumer Price Index number for the quarter ending on the 31 March immediately preceding the start of that financial year</w:t>
            </w:r>
            <w:r>
              <w:rPr>
                <w:color w:val="0000FF"/>
              </w:rPr>
              <w:t xml:space="preserve"> </w:t>
            </w:r>
          </w:p>
          <w:p w:rsidR="00EF4EC1" w:rsidRPr="00172784" w:rsidRDefault="00EF4EC1" w:rsidP="00EF4EC1">
            <w:pPr>
              <w:pStyle w:val="Slide4"/>
              <w:tabs>
                <w:tab w:val="right" w:pos="1588"/>
              </w:tabs>
              <w:rPr>
                <w:color w:val="0000FF"/>
              </w:rPr>
            </w:pPr>
            <w:r w:rsidRPr="00172784">
              <w:rPr>
                <w:color w:val="0000FF"/>
              </w:rPr>
              <w:t>n</w:t>
            </w:r>
            <w:r w:rsidRPr="00172784">
              <w:rPr>
                <w:color w:val="0000FF"/>
                <w:vertAlign w:val="subscript"/>
              </w:rPr>
              <w:t>p</w:t>
            </w:r>
            <w:r w:rsidRPr="00172784">
              <w:rPr>
                <w:color w:val="0000FF"/>
              </w:rPr>
              <w:tab/>
              <w:t>=</w:t>
            </w:r>
            <w:r w:rsidRPr="00172784">
              <w:rPr>
                <w:color w:val="0000FF"/>
              </w:rPr>
              <w:tab/>
              <w:t>Consumer Price Index number for the quarter ending on the previous 31 March.</w:t>
            </w:r>
          </w:p>
        </w:tc>
      </w:tr>
    </w:tbl>
    <w:p w:rsidR="00EF4EC1" w:rsidRPr="00B87EC6" w:rsidRDefault="00EF4EC1" w:rsidP="00EF4EC1">
      <w:pPr>
        <w:pStyle w:val="Normaltext1"/>
      </w:pPr>
      <w:r w:rsidRPr="00B87EC6">
        <w:t>Example 19 shows an instance where different consequences flow depending on whether the result calculated using the formula is positive or negative.</w:t>
      </w:r>
    </w:p>
    <w:p w:rsidR="00EF4EC1" w:rsidRPr="00187FD2" w:rsidRDefault="00EF4EC1" w:rsidP="00EF4EC1">
      <w:pPr>
        <w:pStyle w:val="Slidelabel"/>
      </w:pPr>
      <w:bookmarkStart w:id="127" w:name="_Ref475629514"/>
      <w:r w:rsidRPr="00187FD2">
        <w:lastRenderedPageBreak/>
        <w:t>Allowing for negative results</w:t>
      </w:r>
      <w:bookmarkEnd w:id="127"/>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187FD2" w:rsidTr="00EF4EC1">
        <w:trPr>
          <w:cantSplit/>
        </w:trPr>
        <w:tc>
          <w:tcPr>
            <w:tcW w:w="8505" w:type="dxa"/>
            <w:shd w:val="clear" w:color="auto" w:fill="FFFFFF"/>
          </w:tcPr>
          <w:p w:rsidR="00EF4EC1" w:rsidRPr="00172784" w:rsidRDefault="00EF4EC1" w:rsidP="00EF4EC1">
            <w:pPr>
              <w:pStyle w:val="Slide1"/>
              <w:keepNext w:val="0"/>
              <w:rPr>
                <w:snapToGrid w:val="0"/>
                <w:color w:val="0000FF"/>
              </w:rPr>
            </w:pPr>
            <w:bookmarkStart w:id="128" w:name="_Toc28753080"/>
            <w:bookmarkStart w:id="129" w:name="_Toc131575674"/>
            <w:bookmarkStart w:id="130" w:name="_Toc171051535"/>
            <w:r w:rsidRPr="00172784">
              <w:rPr>
                <w:color w:val="0000FF"/>
              </w:rPr>
              <w:t>24</w:t>
            </w:r>
            <w:r w:rsidRPr="00172784">
              <w:rPr>
                <w:snapToGrid w:val="0"/>
                <w:color w:val="0000FF"/>
              </w:rPr>
              <w:tab/>
              <w:t>Balancing</w:t>
            </w:r>
            <w:bookmarkEnd w:id="128"/>
            <w:bookmarkEnd w:id="129"/>
            <w:bookmarkEnd w:id="130"/>
          </w:p>
          <w:p w:rsidR="00EF4EC1" w:rsidRPr="00172784" w:rsidRDefault="00EF4EC1" w:rsidP="00EF4EC1">
            <w:pPr>
              <w:pStyle w:val="Slide2"/>
              <w:rPr>
                <w:color w:val="0000FF"/>
              </w:rPr>
            </w:pPr>
            <w:r w:rsidRPr="00172784">
              <w:rPr>
                <w:color w:val="0000FF"/>
              </w:rPr>
              <w:t>(1)</w:t>
            </w:r>
            <w:r w:rsidRPr="00172784">
              <w:rPr>
                <w:color w:val="0000FF"/>
              </w:rPr>
              <w:tab/>
              <w:t>The out of balance charge in respect of a distribution access agreement for a month is determined by applying the following formula:</w:t>
            </w:r>
          </w:p>
          <w:p w:rsidR="00EF4EC1" w:rsidRPr="00172784" w:rsidRDefault="00EF4EC1" w:rsidP="00EF4EC1">
            <w:pPr>
              <w:pStyle w:val="SlideEquation"/>
              <w:rPr>
                <w:color w:val="0000FF"/>
              </w:rPr>
            </w:pPr>
            <m:oMathPara>
              <m:oMathParaPr>
                <m:jc m:val="left"/>
              </m:oMathParaPr>
              <m:oMath>
                <m:r>
                  <m:rPr>
                    <m:nor/>
                  </m:rPr>
                  <w:rPr>
                    <w:color w:val="0000FF"/>
                  </w:rPr>
                  <m:t>c</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 xml:space="preserve">n </m:t>
                </m:r>
                <m:r>
                  <m:rPr>
                    <m:nor/>
                  </m:rPr>
                  <w:rPr>
                    <w:rFonts w:ascii="Cambria Math" w:hAnsi="Cambria Math"/>
                    <w:color w:val="0000FF"/>
                  </w:rPr>
                  <m:t>×</m:t>
                </m:r>
                <m:r>
                  <m:rPr>
                    <m:nor/>
                  </m:rPr>
                  <w:rPr>
                    <w:color w:val="0000FF"/>
                  </w:rPr>
                  <m:t xml:space="preserve"> b</m:t>
                </m:r>
                <m:r>
                  <m:rPr>
                    <m:nor/>
                  </m:rPr>
                  <w:rPr>
                    <w:rFonts w:ascii="Cambria Math"/>
                    <w:color w:val="0000FF"/>
                  </w:rPr>
                  <m:t xml:space="preserve"> </m:t>
                </m:r>
                <m:r>
                  <m:rPr>
                    <m:nor/>
                  </m:rPr>
                  <w:rPr>
                    <w:rFonts w:ascii="Cambria Math" w:hAnsi="Cambria Math"/>
                    <w:color w:val="0000FF"/>
                  </w:rPr>
                  <m:t xml:space="preserve">× </m:t>
                </m:r>
                <m:f>
                  <m:fPr>
                    <m:ctrlPr>
                      <w:rPr>
                        <w:rFonts w:ascii="Cambria Math" w:hAnsi="Cambria Math"/>
                        <w:i/>
                        <w:color w:val="0000FF"/>
                      </w:rPr>
                    </m:ctrlPr>
                  </m:fPr>
                  <m:num>
                    <m:r>
                      <m:rPr>
                        <m:nor/>
                      </m:rPr>
                      <w:rPr>
                        <w:color w:val="0000FF"/>
                      </w:rPr>
                      <m:t>1</m:t>
                    </m:r>
                  </m:num>
                  <m:den>
                    <m:r>
                      <m:rPr>
                        <m:nor/>
                      </m:rPr>
                      <w:rPr>
                        <w:color w:val="0000FF"/>
                      </w:rPr>
                      <m:t>100</m:t>
                    </m:r>
                  </m:den>
                </m:f>
              </m:oMath>
            </m:oMathPara>
          </w:p>
          <w:p w:rsidR="00EF4EC1" w:rsidRPr="00172784" w:rsidRDefault="00EF4EC1" w:rsidP="00EF4EC1">
            <w:pPr>
              <w:pStyle w:val="Slide3"/>
              <w:rPr>
                <w:color w:val="0000FF"/>
              </w:rPr>
            </w:pPr>
            <w:r w:rsidRPr="00172784">
              <w:rPr>
                <w:color w:val="0000FF"/>
              </w:rPr>
              <w:t>where:</w:t>
            </w:r>
            <w:r>
              <w:rPr>
                <w:noProof/>
                <w:snapToGrid/>
                <w:color w:val="0000FF"/>
                <w:lang w:eastAsia="en-NZ"/>
              </w:rPr>
              <w:t xml:space="preserve"> </w:t>
            </w:r>
          </w:p>
          <w:p w:rsidR="00EF4EC1" w:rsidRPr="00172784" w:rsidRDefault="00EF4EC1" w:rsidP="00EF4EC1">
            <w:pPr>
              <w:pStyle w:val="Slide3"/>
              <w:rPr>
                <w:color w:val="0000FF"/>
              </w:rPr>
            </w:pPr>
            <w:r w:rsidRPr="00172784">
              <w:rPr>
                <w:color w:val="0000FF"/>
              </w:rPr>
              <w:t>c</w:t>
            </w:r>
            <w:r w:rsidRPr="00172784">
              <w:rPr>
                <w:color w:val="0000FF"/>
              </w:rPr>
              <w:tab/>
              <w:t>=</w:t>
            </w:r>
            <w:r w:rsidRPr="00172784">
              <w:rPr>
                <w:color w:val="0000FF"/>
              </w:rPr>
              <w:tab/>
              <w:t>out of balance charge for the month</w:t>
            </w:r>
          </w:p>
          <w:p w:rsidR="00EF4EC1" w:rsidRPr="00172784" w:rsidRDefault="00EF4EC1" w:rsidP="00EF4EC1">
            <w:pPr>
              <w:pStyle w:val="Slide3"/>
              <w:rPr>
                <w:color w:val="0000FF"/>
              </w:rPr>
            </w:pPr>
            <w:r>
              <w:rPr>
                <w:color w:val="0000FF"/>
              </w:rPr>
              <w:t>n</w:t>
            </w:r>
            <w:r w:rsidRPr="00172784">
              <w:rPr>
                <w:color w:val="0000FF"/>
              </w:rPr>
              <w:tab/>
              <w:t>=</w:t>
            </w:r>
            <w:r w:rsidRPr="00172784">
              <w:rPr>
                <w:color w:val="0000FF"/>
              </w:rPr>
              <w:tab/>
              <w:t>sum of adjusted net amounts for the group of connections in respect of the agreement for all of the half hours falling within the month</w:t>
            </w:r>
          </w:p>
          <w:p w:rsidR="00EF4EC1" w:rsidRPr="00172784" w:rsidRDefault="00EF4EC1" w:rsidP="00EF4EC1">
            <w:pPr>
              <w:pStyle w:val="Slide3"/>
              <w:rPr>
                <w:color w:val="0000FF"/>
              </w:rPr>
            </w:pPr>
            <w:r w:rsidRPr="00172784">
              <w:rPr>
                <w:color w:val="0000FF"/>
              </w:rPr>
              <w:t>b</w:t>
            </w:r>
            <w:r w:rsidRPr="00172784">
              <w:rPr>
                <w:color w:val="0000FF"/>
              </w:rPr>
              <w:tab/>
              <w:t>=</w:t>
            </w:r>
            <w:r w:rsidRPr="00172784">
              <w:rPr>
                <w:color w:val="0000FF"/>
              </w:rPr>
              <w:tab/>
              <w:t xml:space="preserve">if </w:t>
            </w:r>
            <w:r w:rsidRPr="00C91EFA">
              <w:rPr>
                <w:color w:val="FF0000"/>
              </w:rPr>
              <w:t>n is negative</w:t>
            </w:r>
            <w:r w:rsidRPr="00172784">
              <w:rPr>
                <w:color w:val="0000FF"/>
              </w:rPr>
              <w:t xml:space="preserve">, </w:t>
            </w:r>
            <w:r>
              <w:rPr>
                <w:color w:val="0000FF"/>
              </w:rPr>
              <w:t xml:space="preserve">then b = </w:t>
            </w:r>
            <w:r w:rsidRPr="00172784">
              <w:rPr>
                <w:color w:val="0000FF"/>
              </w:rPr>
              <w:t>out of balance (sell) fee for the</w:t>
            </w:r>
            <w:r>
              <w:rPr>
                <w:color w:val="0000FF"/>
              </w:rPr>
              <w:t xml:space="preserve"> month</w:t>
            </w:r>
          </w:p>
          <w:p w:rsidR="00EF4EC1" w:rsidRPr="00172784" w:rsidRDefault="00EF4EC1" w:rsidP="00EF4EC1">
            <w:pPr>
              <w:pStyle w:val="Slide4"/>
              <w:rPr>
                <w:color w:val="0000FF"/>
              </w:rPr>
            </w:pPr>
            <w:r w:rsidRPr="00172784">
              <w:rPr>
                <w:color w:val="0000FF"/>
              </w:rPr>
              <w:t xml:space="preserve">if </w:t>
            </w:r>
            <w:r w:rsidRPr="00C91EFA">
              <w:rPr>
                <w:color w:val="FF0000"/>
              </w:rPr>
              <w:t>n is positive</w:t>
            </w:r>
            <w:r w:rsidRPr="00172784">
              <w:rPr>
                <w:color w:val="0000FF"/>
              </w:rPr>
              <w:t xml:space="preserve">, </w:t>
            </w:r>
            <w:r>
              <w:rPr>
                <w:color w:val="0000FF"/>
              </w:rPr>
              <w:t xml:space="preserve">then b = </w:t>
            </w:r>
            <w:r w:rsidRPr="00172784">
              <w:rPr>
                <w:color w:val="0000FF"/>
              </w:rPr>
              <w:t>out of balance (buy) fee for the month</w:t>
            </w:r>
            <w:r>
              <w:rPr>
                <w:color w:val="0000FF"/>
              </w:rPr>
              <w:t>.</w:t>
            </w:r>
          </w:p>
          <w:p w:rsidR="00EF4EC1" w:rsidRPr="00172784" w:rsidRDefault="00EF4EC1" w:rsidP="00EF4EC1">
            <w:pPr>
              <w:pStyle w:val="Slide2"/>
              <w:rPr>
                <w:color w:val="0000FF"/>
              </w:rPr>
            </w:pPr>
            <w:r w:rsidRPr="00172784">
              <w:rPr>
                <w:color w:val="0000FF"/>
              </w:rPr>
              <w:t>(2)</w:t>
            </w:r>
            <w:r w:rsidRPr="00172784">
              <w:rPr>
                <w:color w:val="0000FF"/>
              </w:rPr>
              <w:tab/>
              <w:t xml:space="preserve">If the out of balance charge for a month </w:t>
            </w:r>
            <w:r w:rsidRPr="00172784">
              <w:rPr>
                <w:bCs/>
                <w:color w:val="0000FF"/>
              </w:rPr>
              <w:t xml:space="preserve">is </w:t>
            </w:r>
            <w:r w:rsidRPr="00C91EFA">
              <w:rPr>
                <w:bCs/>
                <w:color w:val="FF0000"/>
              </w:rPr>
              <w:t>negative, then</w:t>
            </w:r>
            <w:r w:rsidRPr="00C91EFA">
              <w:rPr>
                <w:color w:val="FF0000"/>
              </w:rPr>
              <w:t xml:space="preserve"> </w:t>
            </w:r>
            <w:r w:rsidRPr="00172784">
              <w:rPr>
                <w:color w:val="0000FF"/>
              </w:rPr>
              <w:t>...</w:t>
            </w:r>
          </w:p>
          <w:p w:rsidR="00EF4EC1" w:rsidRPr="00172784" w:rsidRDefault="00EF4EC1" w:rsidP="00EF4EC1">
            <w:pPr>
              <w:pStyle w:val="Slide2"/>
              <w:rPr>
                <w:color w:val="0000FF"/>
              </w:rPr>
            </w:pPr>
            <w:r w:rsidRPr="00172784">
              <w:rPr>
                <w:color w:val="0000FF"/>
              </w:rPr>
              <w:t>(3)</w:t>
            </w:r>
            <w:r w:rsidRPr="00172784">
              <w:rPr>
                <w:color w:val="0000FF"/>
              </w:rPr>
              <w:tab/>
              <w:t xml:space="preserve">If the out of balance charge for a month </w:t>
            </w:r>
            <w:r w:rsidRPr="00172784">
              <w:rPr>
                <w:bCs/>
                <w:color w:val="0000FF"/>
              </w:rPr>
              <w:t xml:space="preserve">is </w:t>
            </w:r>
            <w:r w:rsidRPr="00C91EFA">
              <w:rPr>
                <w:bCs/>
                <w:color w:val="FF0000"/>
              </w:rPr>
              <w:t>positive, then</w:t>
            </w:r>
            <w:r w:rsidRPr="00C91EFA">
              <w:rPr>
                <w:color w:val="FF0000"/>
              </w:rPr>
              <w:t xml:space="preserve"> </w:t>
            </w:r>
            <w:r w:rsidRPr="00172784">
              <w:rPr>
                <w:color w:val="0000FF"/>
              </w:rPr>
              <w:t>...</w:t>
            </w:r>
          </w:p>
        </w:tc>
      </w:tr>
    </w:tbl>
    <w:p w:rsidR="00EF4EC1" w:rsidRPr="00C87EB4" w:rsidRDefault="00EF4EC1" w:rsidP="00EF4EC1">
      <w:pPr>
        <w:pStyle w:val="Heading3"/>
      </w:pPr>
      <w:bookmarkStart w:id="131" w:name="_Toc477006916"/>
      <w:bookmarkStart w:id="132" w:name="_Toc477006976"/>
      <w:bookmarkStart w:id="133" w:name="_Toc477159614"/>
      <w:bookmarkStart w:id="134" w:name="_Toc500060174"/>
      <w:bookmarkStart w:id="135" w:name="_Toc501713643"/>
      <w:bookmarkStart w:id="136" w:name="_Toc501713782"/>
      <w:bookmarkStart w:id="137" w:name="_Toc503170532"/>
      <w:bookmarkStart w:id="138" w:name="_Toc503290251"/>
      <w:bookmarkStart w:id="139" w:name="_Toc504579915"/>
      <w:r w:rsidRPr="00C87EB4">
        <w:t>How to use formulae</w:t>
      </w:r>
      <w:bookmarkEnd w:id="131"/>
      <w:bookmarkEnd w:id="132"/>
      <w:bookmarkEnd w:id="133"/>
      <w:bookmarkEnd w:id="134"/>
      <w:bookmarkEnd w:id="135"/>
      <w:bookmarkEnd w:id="136"/>
      <w:bookmarkEnd w:id="137"/>
      <w:bookmarkEnd w:id="138"/>
      <w:bookmarkEnd w:id="139"/>
    </w:p>
    <w:p w:rsidR="00EF4EC1" w:rsidRPr="00B87EC6" w:rsidRDefault="00EF4EC1" w:rsidP="00EF4EC1">
      <w:pPr>
        <w:pStyle w:val="Normaltext1"/>
      </w:pPr>
      <w:r w:rsidRPr="00B87EC6">
        <w:t>A formula is not just a convenient way of arranging words or a pictorial representation of a calculation. It is a mathematical proposition written in mathematical language. That language uses symbols to represent quantities, operations</w:t>
      </w:r>
      <w:r>
        <w:t xml:space="preserve"> and</w:t>
      </w:r>
      <w:r w:rsidRPr="00B87EC6">
        <w:t xml:space="preserve"> functions. Each symbol has a precise meaning and, as with any other language, there are rules about how the symbols are to be used. Some of these rules are strictly adhered to, others are more matters of convention. While conventions do not have to be adhered to, doing so is likely to reduce the risk of being misunderstood.</w:t>
      </w:r>
    </w:p>
    <w:p w:rsidR="00EF4EC1" w:rsidRPr="00C87EB4" w:rsidRDefault="00EF4EC1" w:rsidP="00EF4EC1">
      <w:pPr>
        <w:pStyle w:val="Heading4"/>
      </w:pPr>
      <w:bookmarkStart w:id="140" w:name="_Toc477006917"/>
      <w:bookmarkStart w:id="141" w:name="_Toc477006977"/>
      <w:bookmarkStart w:id="142" w:name="_Toc477159615"/>
      <w:r w:rsidRPr="00C87EB4">
        <w:t>Mathematical symbols</w:t>
      </w:r>
      <w:bookmarkEnd w:id="140"/>
      <w:bookmarkEnd w:id="141"/>
      <w:bookmarkEnd w:id="142"/>
    </w:p>
    <w:p w:rsidR="00EF4EC1" w:rsidRPr="00B87EC6" w:rsidRDefault="00EF4EC1" w:rsidP="00EF4EC1">
      <w:pPr>
        <w:pStyle w:val="Normaltext1"/>
      </w:pPr>
      <w:r w:rsidRPr="00B87EC6">
        <w:t>This paper is not intended as a maths lesson, but if you are going to use a formula, you need to know what the various mathematical symbols are and how to use them.</w:t>
      </w:r>
    </w:p>
    <w:p w:rsidR="00EF4EC1" w:rsidRPr="001C74E0" w:rsidRDefault="00EF4EC1" w:rsidP="00EF4EC1">
      <w:pPr>
        <w:pStyle w:val="Heading5"/>
      </w:pPr>
      <w:r w:rsidRPr="001C74E0">
        <w:t xml:space="preserve">+ − </w:t>
      </w:r>
      <w:r w:rsidRPr="001C74E0">
        <w:sym w:font="Symbol" w:char="F0B4"/>
      </w:r>
      <w:r w:rsidRPr="001C74E0">
        <w:t xml:space="preserve"> </w:t>
      </w:r>
      <w:r w:rsidRPr="001C74E0">
        <w:sym w:font="Symbol" w:char="F0B8"/>
      </w:r>
      <w:r w:rsidRPr="001C74E0">
        <w:t xml:space="preserve"> =</w:t>
      </w:r>
      <w:r w:rsidRPr="001C74E0">
        <w:tab/>
        <w:t>addition, subtraction, multiplication, division, equals</w:t>
      </w:r>
    </w:p>
    <w:p w:rsidR="00EF4EC1" w:rsidRPr="00B87EC6" w:rsidRDefault="00EF4EC1" w:rsidP="00EF4EC1">
      <w:pPr>
        <w:pStyle w:val="Normaltext1"/>
      </w:pPr>
      <w:r w:rsidRPr="00B87EC6">
        <w:t>These are the basic arithmetical symbols, which</w:t>
      </w:r>
      <w:r>
        <w:t xml:space="preserve"> will be familiar to most people</w:t>
      </w:r>
      <w:r w:rsidRPr="00B87EC6">
        <w:t>.</w:t>
      </w:r>
    </w:p>
    <w:p w:rsidR="00EF4EC1" w:rsidRPr="00E91CE5" w:rsidRDefault="00EF4EC1" w:rsidP="00EF4EC1">
      <w:pPr>
        <w:pStyle w:val="Normaltext1"/>
      </w:pPr>
      <w:r w:rsidRPr="00E91CE5">
        <w:t xml:space="preserve">As a matter of convention, to multiply 2 variables together it is not necessary to use the multiplication symbol </w:t>
      </w:r>
      <w:r w:rsidRPr="00E91CE5">
        <w:sym w:font="Symbol" w:char="F0B4"/>
      </w:r>
      <w:r w:rsidRPr="00E91CE5">
        <w:t xml:space="preserve"> (so for example m </w:t>
      </w:r>
      <w:r w:rsidRPr="00E91CE5">
        <w:sym w:font="Symbol" w:char="F0B4"/>
      </w:r>
      <w:r w:rsidRPr="00E91CE5">
        <w:t xml:space="preserve"> n can be written as mn). While a multiplication symbol is not necessary, including one might be valuable for the sake of clarity.</w:t>
      </w:r>
    </w:p>
    <w:p w:rsidR="00EF4EC1" w:rsidRPr="00B87EC6" w:rsidRDefault="00EF4EC1" w:rsidP="00EF4EC1">
      <w:pPr>
        <w:pStyle w:val="Normaltext1"/>
      </w:pPr>
      <w:r w:rsidRPr="00B87EC6">
        <w:t>This is also why mathematical notation ordinarily uses variables consisting of only one letter. I will come back to this point later.</w:t>
      </w:r>
    </w:p>
    <w:p w:rsidR="00EF4EC1" w:rsidRPr="00C80BD9" w:rsidRDefault="00EF4EC1" w:rsidP="00EF4EC1">
      <w:pPr>
        <w:pStyle w:val="Slidelabel"/>
      </w:pPr>
      <w:bookmarkStart w:id="143" w:name="_Ref475782966"/>
      <w:r w:rsidRPr="00C80BD9">
        <w:lastRenderedPageBreak/>
        <w:t>Use of multiplication sign</w:t>
      </w:r>
      <w:bookmarkEnd w:id="143"/>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5737C9" w:rsidRDefault="00EF4EC1" w:rsidP="00EF4EC1">
            <w:pPr>
              <w:pStyle w:val="Slide1"/>
              <w:keepNext w:val="0"/>
              <w:rPr>
                <w:color w:val="0000FF"/>
              </w:rPr>
            </w:pPr>
            <w:r w:rsidRPr="005737C9">
              <w:rPr>
                <w:color w:val="0000FF"/>
              </w:rPr>
              <w:t>6</w:t>
            </w:r>
            <w:r w:rsidRPr="005737C9">
              <w:rPr>
                <w:color w:val="0000FF"/>
              </w:rPr>
              <w:tab/>
            </w:r>
            <w:r w:rsidRPr="005737C9">
              <w:rPr>
                <w:bCs/>
                <w:snapToGrid w:val="0"/>
                <w:color w:val="0000FF"/>
              </w:rPr>
              <w:t>Statutory rebate in relation to prescribed insurance charges</w:t>
            </w:r>
          </w:p>
          <w:p w:rsidR="00EF4EC1" w:rsidRPr="005737C9" w:rsidRDefault="00EF4EC1" w:rsidP="00EF4EC1">
            <w:pPr>
              <w:pStyle w:val="Slide2"/>
              <w:rPr>
                <w:color w:val="0000FF"/>
              </w:rPr>
            </w:pPr>
            <w:r w:rsidRPr="005737C9">
              <w:rPr>
                <w:color w:val="0000FF"/>
              </w:rPr>
              <w:tab/>
              <w:t>The prescribed manner of ascertaining the statutory rebate is by applying the following formula:</w:t>
            </w:r>
          </w:p>
          <w:p w:rsidR="00EF4EC1" w:rsidRPr="00C45594" w:rsidRDefault="00EF4EC1" w:rsidP="00EF4EC1">
            <w:pPr>
              <w:pStyle w:val="SlideEquation"/>
              <w:rPr>
                <w:color w:val="0000FF"/>
                <w:lang w:val="en-CA"/>
              </w:rPr>
            </w:pPr>
            <m:oMathPara>
              <m:oMathParaPr>
                <m:jc m:val="left"/>
              </m:oMathParaPr>
              <m:oMath>
                <m:r>
                  <m:rPr>
                    <m:nor/>
                  </m:rPr>
                  <w:rPr>
                    <w:color w:val="0000FF"/>
                    <w:lang w:val="en-CA"/>
                  </w:rPr>
                  <m:t>y</m:t>
                </m:r>
                <m:r>
                  <m:rPr>
                    <m:nor/>
                  </m:rPr>
                  <w:rPr>
                    <w:rFonts w:ascii="Cambria Math"/>
                    <w:color w:val="0000FF"/>
                    <w:lang w:val="en-CA"/>
                  </w:rPr>
                  <m:t xml:space="preserve"> </m:t>
                </m:r>
                <m:r>
                  <m:rPr>
                    <m:nor/>
                  </m:rPr>
                  <w:rPr>
                    <w:color w:val="0000FF"/>
                    <w:lang w:val="en-CA"/>
                  </w:rPr>
                  <m:t>=</m:t>
                </m:r>
                <m:r>
                  <m:rPr>
                    <m:nor/>
                  </m:rPr>
                  <w:rPr>
                    <w:rFonts w:ascii="Cambria Math"/>
                    <w:color w:val="0000FF"/>
                    <w:lang w:val="en-CA"/>
                  </w:rPr>
                  <m:t xml:space="preserve"> </m:t>
                </m:r>
                <m:f>
                  <m:fPr>
                    <m:ctrlPr>
                      <w:rPr>
                        <w:rFonts w:ascii="Cambria Math" w:hAnsi="Cambria Math"/>
                        <w:i/>
                        <w:color w:val="0000FF"/>
                      </w:rPr>
                    </m:ctrlPr>
                  </m:fPr>
                  <m:num>
                    <m:r>
                      <m:rPr>
                        <m:nor/>
                      </m:rPr>
                      <w:rPr>
                        <w:color w:val="0000FF"/>
                        <w:lang w:val="en-CA"/>
                      </w:rPr>
                      <m:t>ps</m:t>
                    </m:r>
                    <m:r>
                      <m:rPr>
                        <m:nor/>
                      </m:rPr>
                      <w:rPr>
                        <w:rFonts w:ascii="Cambria Math"/>
                        <w:color w:val="0000FF"/>
                        <w:lang w:val="en-CA"/>
                      </w:rPr>
                      <m:t xml:space="preserve"> </m:t>
                    </m:r>
                    <m:d>
                      <m:dPr>
                        <m:ctrlPr>
                          <w:rPr>
                            <w:rFonts w:ascii="Cambria Math" w:hAnsi="Cambria Math"/>
                            <w:i/>
                            <w:color w:val="0000FF"/>
                          </w:rPr>
                        </m:ctrlPr>
                      </m:dPr>
                      <m:e>
                        <m:r>
                          <m:rPr>
                            <m:nor/>
                          </m:rPr>
                          <w:rPr>
                            <w:color w:val="0000FF"/>
                            <w:lang w:val="en-CA"/>
                          </w:rPr>
                          <m:t>s</m:t>
                        </m:r>
                        <m:r>
                          <m:rPr>
                            <m:nor/>
                          </m:rPr>
                          <w:rPr>
                            <w:rFonts w:ascii="Cambria Math"/>
                            <w:color w:val="0000FF"/>
                            <w:lang w:val="en-CA"/>
                          </w:rPr>
                          <m:t xml:space="preserve"> </m:t>
                        </m:r>
                        <m:r>
                          <m:rPr>
                            <m:nor/>
                          </m:rPr>
                          <w:rPr>
                            <w:rFonts w:ascii="Cambria Math" w:hAnsi="Cambria Math"/>
                            <w:color w:val="0000FF"/>
                            <w:lang w:val="en-CA"/>
                          </w:rPr>
                          <m:t>+</m:t>
                        </m:r>
                        <m:r>
                          <m:rPr>
                            <m:nor/>
                          </m:rPr>
                          <w:rPr>
                            <w:rFonts w:ascii="Cambria Math"/>
                            <w:color w:val="0000FF"/>
                            <w:lang w:val="en-CA"/>
                          </w:rPr>
                          <m:t xml:space="preserve"> </m:t>
                        </m:r>
                        <m:r>
                          <m:rPr>
                            <m:nor/>
                          </m:rPr>
                          <w:rPr>
                            <w:color w:val="0000FF"/>
                            <w:lang w:val="en-CA"/>
                          </w:rPr>
                          <m:t>1</m:t>
                        </m:r>
                      </m:e>
                    </m:d>
                  </m:num>
                  <m:den>
                    <m:r>
                      <m:rPr>
                        <m:nor/>
                      </m:rPr>
                      <w:rPr>
                        <w:color w:val="0000FF"/>
                        <w:lang w:val="en-CA"/>
                      </w:rPr>
                      <m:t>t</m:t>
                    </m:r>
                    <m:r>
                      <m:rPr>
                        <m:nor/>
                      </m:rPr>
                      <w:rPr>
                        <w:rFonts w:ascii="Cambria Math"/>
                        <w:color w:val="0000FF"/>
                        <w:lang w:val="en-CA"/>
                      </w:rPr>
                      <m:t xml:space="preserve"> </m:t>
                    </m:r>
                    <m:d>
                      <m:dPr>
                        <m:ctrlPr>
                          <w:rPr>
                            <w:rFonts w:ascii="Cambria Math" w:hAnsi="Cambria Math"/>
                            <w:i/>
                            <w:color w:val="0000FF"/>
                          </w:rPr>
                        </m:ctrlPr>
                      </m:dPr>
                      <m:e>
                        <m:r>
                          <m:rPr>
                            <m:nor/>
                          </m:rPr>
                          <w:rPr>
                            <w:color w:val="0000FF"/>
                            <w:lang w:val="en-CA"/>
                          </w:rPr>
                          <m:t>t</m:t>
                        </m:r>
                        <m:r>
                          <m:rPr>
                            <m:nor/>
                          </m:rPr>
                          <w:rPr>
                            <w:rFonts w:ascii="Cambria Math"/>
                            <w:color w:val="0000FF"/>
                            <w:lang w:val="en-CA"/>
                          </w:rPr>
                          <m:t xml:space="preserve"> </m:t>
                        </m:r>
                        <m:r>
                          <m:rPr>
                            <m:nor/>
                          </m:rPr>
                          <w:rPr>
                            <w:rFonts w:ascii="Cambria Math" w:hAnsi="Cambria Math"/>
                            <w:color w:val="0000FF"/>
                            <w:lang w:val="en-CA"/>
                          </w:rPr>
                          <m:t>+</m:t>
                        </m:r>
                        <m:r>
                          <m:rPr>
                            <m:nor/>
                          </m:rPr>
                          <w:rPr>
                            <w:color w:val="0000FF"/>
                            <w:lang w:val="en-CA"/>
                          </w:rPr>
                          <m:t xml:space="preserve"> 1</m:t>
                        </m:r>
                      </m:e>
                    </m:d>
                  </m:den>
                </m:f>
              </m:oMath>
            </m:oMathPara>
          </w:p>
          <w:p w:rsidR="00EF4EC1" w:rsidRPr="00C45594" w:rsidRDefault="00EF4EC1" w:rsidP="00EF4EC1">
            <w:pPr>
              <w:pStyle w:val="Slide3"/>
              <w:rPr>
                <w:color w:val="0000FF"/>
                <w:lang w:val="en-CA"/>
              </w:rPr>
            </w:pPr>
            <w:r w:rsidRPr="00C45594">
              <w:rPr>
                <w:color w:val="0000FF"/>
                <w:lang w:val="en-CA"/>
              </w:rPr>
              <w:t>where:</w:t>
            </w:r>
          </w:p>
          <w:p w:rsidR="00EF4EC1" w:rsidRPr="005737C9" w:rsidRDefault="00EF4EC1" w:rsidP="00EF4EC1">
            <w:pPr>
              <w:pStyle w:val="Slide3"/>
              <w:rPr>
                <w:color w:val="0000FF"/>
              </w:rPr>
            </w:pPr>
            <w:r w:rsidRPr="005737C9">
              <w:rPr>
                <w:color w:val="0000FF"/>
              </w:rPr>
              <w:t>y</w:t>
            </w:r>
            <w:r w:rsidRPr="005737C9">
              <w:rPr>
                <w:color w:val="0000FF"/>
              </w:rPr>
              <w:tab/>
              <w:t>=</w:t>
            </w:r>
            <w:r w:rsidRPr="005737C9">
              <w:rPr>
                <w:color w:val="0000FF"/>
              </w:rPr>
              <w:tab/>
              <w:t>amount of the statutory rebate</w:t>
            </w:r>
          </w:p>
          <w:p w:rsidR="00EF4EC1" w:rsidRPr="005737C9" w:rsidRDefault="00EF4EC1" w:rsidP="00EF4EC1">
            <w:pPr>
              <w:pStyle w:val="Slide3"/>
              <w:rPr>
                <w:color w:val="0000FF"/>
              </w:rPr>
            </w:pPr>
            <w:r w:rsidRPr="005737C9">
              <w:rPr>
                <w:color w:val="0000FF"/>
              </w:rPr>
              <w:t>p</w:t>
            </w:r>
            <w:r w:rsidRPr="005737C9">
              <w:rPr>
                <w:color w:val="0000FF"/>
              </w:rPr>
              <w:tab/>
              <w:t>=</w:t>
            </w:r>
            <w:r w:rsidRPr="005737C9">
              <w:rPr>
                <w:color w:val="0000FF"/>
              </w:rPr>
              <w:tab/>
              <w:t>amount of insurance charges</w:t>
            </w:r>
          </w:p>
          <w:p w:rsidR="00EF4EC1" w:rsidRPr="005737C9" w:rsidRDefault="00EF4EC1" w:rsidP="00EF4EC1">
            <w:pPr>
              <w:pStyle w:val="Slide3"/>
              <w:rPr>
                <w:color w:val="0000FF"/>
              </w:rPr>
            </w:pPr>
            <w:r w:rsidRPr="005737C9">
              <w:rPr>
                <w:color w:val="0000FF"/>
              </w:rPr>
              <w:t>s</w:t>
            </w:r>
            <w:r w:rsidRPr="005737C9">
              <w:rPr>
                <w:color w:val="0000FF"/>
              </w:rPr>
              <w:tab/>
              <w:t>=</w:t>
            </w:r>
            <w:r w:rsidRPr="005737C9">
              <w:rPr>
                <w:color w:val="0000FF"/>
              </w:rPr>
              <w:tab/>
              <w:t>number of whole months in the unexpired portion of the period for which insurance was agreed to be provided</w:t>
            </w:r>
          </w:p>
          <w:p w:rsidR="00EF4EC1" w:rsidRPr="005737C9" w:rsidRDefault="00EF4EC1" w:rsidP="00EF4EC1">
            <w:pPr>
              <w:pStyle w:val="Slide3"/>
              <w:rPr>
                <w:color w:val="0000FF"/>
              </w:rPr>
            </w:pPr>
            <w:r w:rsidRPr="005737C9">
              <w:rPr>
                <w:color w:val="0000FF"/>
              </w:rPr>
              <w:t>t</w:t>
            </w:r>
            <w:r w:rsidRPr="005737C9">
              <w:rPr>
                <w:color w:val="0000FF"/>
              </w:rPr>
              <w:tab/>
              <w:t>=</w:t>
            </w:r>
            <w:r w:rsidRPr="005737C9">
              <w:rPr>
                <w:color w:val="0000FF"/>
              </w:rPr>
              <w:tab/>
              <w:t>number of whole months for which insurance was agreed to be provided.</w:t>
            </w:r>
          </w:p>
        </w:tc>
      </w:tr>
      <w:tr w:rsidR="00EF4EC1" w:rsidRPr="00C80BD9" w:rsidTr="00EF4EC1">
        <w:tc>
          <w:tcPr>
            <w:tcW w:w="8505" w:type="dxa"/>
            <w:shd w:val="clear" w:color="auto" w:fill="FFFFFF"/>
          </w:tcPr>
          <w:p w:rsidR="00EF4EC1" w:rsidRPr="005737C9" w:rsidRDefault="00EF4EC1" w:rsidP="00EF4EC1">
            <w:pPr>
              <w:pStyle w:val="Slide3"/>
              <w:tabs>
                <w:tab w:val="clear" w:pos="1021"/>
              </w:tabs>
              <w:ind w:left="0" w:firstLine="0"/>
              <w:rPr>
                <w:i/>
                <w:color w:val="0000FF"/>
              </w:rPr>
            </w:pPr>
            <w:r w:rsidRPr="005737C9">
              <w:rPr>
                <w:i/>
                <w:color w:val="0000FF"/>
              </w:rPr>
              <w:t>This formula could be written as</w:t>
            </w:r>
          </w:p>
          <w:p w:rsidR="00EF4EC1" w:rsidRPr="005737C9" w:rsidRDefault="00EF4EC1" w:rsidP="00EF4EC1">
            <w:pPr>
              <w:pStyle w:val="SlideEquation"/>
              <w:rPr>
                <w:color w:val="0000FF"/>
              </w:rPr>
            </w:pPr>
            <m:oMathPara>
              <m:oMathParaPr>
                <m:jc m:val="left"/>
              </m:oMathParaPr>
              <m:oMath>
                <m:r>
                  <m:rPr>
                    <m:nor/>
                  </m:rPr>
                  <w:rPr>
                    <w:color w:val="0000FF"/>
                  </w:rPr>
                  <m:t>y</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p</m:t>
                    </m:r>
                    <m:r>
                      <m:rPr>
                        <m:nor/>
                      </m:rPr>
                      <w:rPr>
                        <w:rFonts w:ascii="Cambria Math"/>
                        <w:color w:val="0000FF"/>
                      </w:rPr>
                      <m:t xml:space="preserve"> </m:t>
                    </m:r>
                    <m:r>
                      <m:rPr>
                        <m:nor/>
                      </m:rPr>
                      <w:rPr>
                        <w:rFonts w:ascii="Cambria Math" w:hAnsi="Cambria Math"/>
                        <w:color w:val="0000FF"/>
                      </w:rPr>
                      <m:t xml:space="preserve">× </m:t>
                    </m:r>
                    <m:r>
                      <m:rPr>
                        <m:nor/>
                      </m:rPr>
                      <w:rPr>
                        <w:color w:val="0000FF"/>
                      </w:rPr>
                      <m:t>s</m:t>
                    </m:r>
                    <m:r>
                      <m:rPr>
                        <m:nor/>
                      </m:rPr>
                      <w:rPr>
                        <w:rFonts w:ascii="Cambria Math"/>
                        <w:color w:val="0000FF"/>
                      </w:rPr>
                      <m:t xml:space="preserve"> </m:t>
                    </m:r>
                    <m:r>
                      <m:rPr>
                        <m:nor/>
                      </m:rPr>
                      <w:rPr>
                        <w:rFonts w:ascii="Cambria Math" w:hAnsi="Cambria Math"/>
                        <w:color w:val="0000FF"/>
                      </w:rPr>
                      <m:t xml:space="preserve">× </m:t>
                    </m:r>
                    <m:d>
                      <m:dPr>
                        <m:ctrlPr>
                          <w:rPr>
                            <w:rFonts w:ascii="Cambria Math" w:hAnsi="Cambria Math"/>
                            <w:i/>
                            <w:color w:val="0000FF"/>
                          </w:rPr>
                        </m:ctrlPr>
                      </m:dPr>
                      <m:e>
                        <m:r>
                          <m:rPr>
                            <m:nor/>
                          </m:rPr>
                          <w:rPr>
                            <w:color w:val="0000FF"/>
                          </w:rPr>
                          <m:t>s</m:t>
                        </m:r>
                        <m:r>
                          <m:rPr>
                            <m:nor/>
                          </m:rPr>
                          <w:rPr>
                            <w:rFonts w:ascii="Cambria Math"/>
                            <w:color w:val="0000FF"/>
                          </w:rPr>
                          <m:t xml:space="preserve"> </m:t>
                        </m:r>
                        <m:r>
                          <m:rPr>
                            <m:nor/>
                          </m:rPr>
                          <w:rPr>
                            <w:rFonts w:ascii="Cambria Math" w:hAnsi="Cambria Math"/>
                            <w:color w:val="0000FF"/>
                          </w:rPr>
                          <m:t>+</m:t>
                        </m:r>
                        <m:r>
                          <m:rPr>
                            <m:nor/>
                          </m:rPr>
                          <w:rPr>
                            <w:color w:val="0000FF"/>
                          </w:rPr>
                          <m:t xml:space="preserve"> 1</m:t>
                        </m:r>
                      </m:e>
                    </m:d>
                  </m:num>
                  <m:den>
                    <m:r>
                      <m:rPr>
                        <m:nor/>
                      </m:rPr>
                      <w:rPr>
                        <w:color w:val="0000FF"/>
                      </w:rPr>
                      <m:t>t</m:t>
                    </m:r>
                    <m:r>
                      <m:rPr>
                        <m:nor/>
                      </m:rPr>
                      <w:rPr>
                        <w:rFonts w:ascii="Cambria Math"/>
                        <w:color w:val="0000FF"/>
                      </w:rPr>
                      <m:t xml:space="preserve"> </m:t>
                    </m:r>
                    <m:r>
                      <m:rPr>
                        <m:nor/>
                      </m:rPr>
                      <w:rPr>
                        <w:rFonts w:ascii="Cambria Math" w:hAnsi="Cambria Math"/>
                        <w:color w:val="0000FF"/>
                      </w:rPr>
                      <m:t xml:space="preserve">× </m:t>
                    </m:r>
                    <m:d>
                      <m:dPr>
                        <m:ctrlPr>
                          <w:rPr>
                            <w:rFonts w:ascii="Cambria Math" w:hAnsi="Cambria Math"/>
                            <w:i/>
                            <w:color w:val="0000FF"/>
                          </w:rPr>
                        </m:ctrlPr>
                      </m:dPr>
                      <m:e>
                        <m:r>
                          <m:rPr>
                            <m:nor/>
                          </m:rPr>
                          <w:rPr>
                            <w:color w:val="0000FF"/>
                          </w:rPr>
                          <m:t>t</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1</m:t>
                        </m:r>
                      </m:e>
                    </m:d>
                  </m:den>
                </m:f>
              </m:oMath>
            </m:oMathPara>
          </w:p>
        </w:tc>
      </w:tr>
    </w:tbl>
    <w:p w:rsidR="00EF4EC1" w:rsidRPr="00E91CE5" w:rsidRDefault="00EF4EC1" w:rsidP="00EF4EC1">
      <w:pPr>
        <w:pStyle w:val="Heading5"/>
      </w:pPr>
      <w:r w:rsidRPr="00E91CE5">
        <w:t>&gt;  &lt;  ≥  ≤</w:t>
      </w:r>
      <w:r w:rsidRPr="00E91CE5">
        <w:tab/>
        <w:t>greater than, less than, greater than or equal to, less than or equal to</w:t>
      </w:r>
    </w:p>
    <w:p w:rsidR="00EF4EC1" w:rsidRPr="007D7133" w:rsidRDefault="00EF4EC1" w:rsidP="00EF4EC1">
      <w:pPr>
        <w:pStyle w:val="Normaltext1"/>
      </w:pPr>
      <w:r w:rsidRPr="007D7133">
        <w:t>As far as I have been able to find, these symbols are not used very often in formulae in legislation, but there is no reason why they shouldn’t be. Examples 36, 38</w:t>
      </w:r>
      <w:r>
        <w:t xml:space="preserve"> and</w:t>
      </w:r>
      <w:r w:rsidRPr="007D7133">
        <w:t xml:space="preserve"> 40 show how they might be used.</w:t>
      </w:r>
    </w:p>
    <w:p w:rsidR="00EF4EC1" w:rsidRPr="00E91CE5" w:rsidRDefault="00EF4EC1" w:rsidP="00EF4EC1">
      <w:pPr>
        <w:pStyle w:val="Heading5"/>
      </w:pPr>
      <w:r w:rsidRPr="00E91CE5">
        <w:t>%</w:t>
      </w:r>
      <w:r w:rsidRPr="00E91CE5">
        <w:tab/>
        <w:t>percentage</w:t>
      </w:r>
    </w:p>
    <w:p w:rsidR="00EF4EC1" w:rsidRDefault="00EF4EC1" w:rsidP="00EF4EC1">
      <w:pPr>
        <w:pStyle w:val="Normaltext1"/>
      </w:pPr>
      <w:r w:rsidRPr="007D7133">
        <w:t>The % symbol indicates a rate or proportion per hundred of something, but it is not a mathematical function symbol so should not be used in a formula. If a percentage is to be included in a formula, it should be expressed as a number (whether as a fraction or a decimal).</w:t>
      </w:r>
    </w:p>
    <w:p w:rsidR="00EF4EC1" w:rsidRDefault="00EF4EC1" w:rsidP="00EF4EC1">
      <w:pPr>
        <w:rPr>
          <w:rFonts w:eastAsia="Calibri"/>
          <w:color w:val="000000"/>
          <w:spacing w:val="-3"/>
          <w:szCs w:val="25"/>
          <w:lang w:val="en-CA"/>
        </w:rPr>
      </w:pPr>
      <w:r>
        <w:br w:type="page"/>
      </w:r>
    </w:p>
    <w:p w:rsidR="00EF4EC1" w:rsidRPr="00C80BD9" w:rsidRDefault="00EF4EC1" w:rsidP="00EF4EC1">
      <w:pPr>
        <w:pStyle w:val="Slidelabel"/>
      </w:pPr>
      <w:r w:rsidRPr="00C80BD9">
        <w:lastRenderedPageBreak/>
        <w:t>Percentage</w:t>
      </w:r>
    </w:p>
    <w:tbl>
      <w:tblPr>
        <w:tblStyle w:val="TableGrid"/>
        <w:tblW w:w="8505" w:type="dxa"/>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5737C9" w:rsidRDefault="00EF4EC1" w:rsidP="00EF4EC1">
            <w:pPr>
              <w:pStyle w:val="Slide1"/>
              <w:keepNext w:val="0"/>
              <w:rPr>
                <w:color w:val="0000FF"/>
              </w:rPr>
            </w:pPr>
            <w:r w:rsidRPr="005737C9">
              <w:rPr>
                <w:color w:val="0000FF"/>
              </w:rPr>
              <w:t>27</w:t>
            </w:r>
            <w:r w:rsidRPr="005737C9">
              <w:rPr>
                <w:color w:val="0000FF"/>
              </w:rPr>
              <w:tab/>
              <w:t>Determination of amount of levy</w:t>
            </w:r>
          </w:p>
          <w:p w:rsidR="00EF4EC1" w:rsidRPr="005737C9" w:rsidRDefault="00EF4EC1" w:rsidP="00EF4EC1">
            <w:pPr>
              <w:pStyle w:val="Slide2"/>
              <w:rPr>
                <w:color w:val="0000FF"/>
              </w:rPr>
            </w:pPr>
            <w:r w:rsidRPr="005737C9">
              <w:rPr>
                <w:color w:val="0000FF"/>
              </w:rPr>
              <w:tab/>
              <w:t>The amount of the levy for waste received at a category 64 landfill during a return period is the amount calculated using the formula:</w:t>
            </w:r>
          </w:p>
          <w:p w:rsidR="00EF4EC1" w:rsidRPr="005737C9" w:rsidRDefault="00EF4EC1" w:rsidP="00EF4EC1">
            <w:pPr>
              <w:pStyle w:val="SlideEquation"/>
              <w:rPr>
                <w:color w:val="0000FF"/>
                <w:oMath/>
              </w:rPr>
            </w:pPr>
            <m:oMathPara>
              <m:oMathParaPr>
                <m:jc m:val="left"/>
              </m:oMathParaPr>
              <m:oMath>
                <m:r>
                  <m:rPr>
                    <m:nor/>
                  </m:rPr>
                  <w:rPr>
                    <w:color w:val="0000FF"/>
                  </w:rPr>
                  <m:t>v</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w</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92%</m:t>
                    </m:r>
                    <m:r>
                      <m:rPr>
                        <m:nor/>
                      </m:rPr>
                      <w:rPr>
                        <w:rFonts w:ascii="Cambria Math"/>
                        <w:color w:val="0000FF"/>
                      </w:rPr>
                      <m:t xml:space="preserve"> </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r</m:t>
                </m:r>
              </m:oMath>
            </m:oMathPara>
          </w:p>
          <w:p w:rsidR="00EF4EC1" w:rsidRPr="005737C9" w:rsidRDefault="00EF4EC1" w:rsidP="00EF4EC1">
            <w:pPr>
              <w:pStyle w:val="SlideEquation"/>
              <w:rPr>
                <w:color w:val="0000FF"/>
              </w:rPr>
            </w:pPr>
            <w:r w:rsidRPr="005737C9">
              <w:rPr>
                <w:color w:val="0000FF"/>
              </w:rPr>
              <w:t>where</w:t>
            </w:r>
          </w:p>
          <w:p w:rsidR="00EF4EC1" w:rsidRPr="005737C9" w:rsidRDefault="00EF4EC1" w:rsidP="00EF4EC1">
            <w:pPr>
              <w:pStyle w:val="Slide3"/>
              <w:rPr>
                <w:color w:val="0000FF"/>
              </w:rPr>
            </w:pPr>
            <w:r w:rsidRPr="005737C9">
              <w:rPr>
                <w:color w:val="0000FF"/>
              </w:rPr>
              <w:t>v</w:t>
            </w:r>
            <w:r w:rsidRPr="005737C9">
              <w:rPr>
                <w:color w:val="0000FF"/>
              </w:rPr>
              <w:tab/>
              <w:t>=</w:t>
            </w:r>
            <w:r w:rsidRPr="005737C9">
              <w:rPr>
                <w:color w:val="0000FF"/>
              </w:rPr>
              <w:tab/>
              <w:t>amount of levy (in dollars)</w:t>
            </w:r>
          </w:p>
          <w:p w:rsidR="00EF4EC1" w:rsidRPr="005737C9" w:rsidRDefault="00EF4EC1" w:rsidP="00EF4EC1">
            <w:pPr>
              <w:pStyle w:val="Slide3"/>
              <w:rPr>
                <w:color w:val="0000FF"/>
              </w:rPr>
            </w:pPr>
            <w:r>
              <w:rPr>
                <w:color w:val="0000FF"/>
              </w:rPr>
              <w:t>w</w:t>
            </w:r>
            <w:r w:rsidRPr="005737C9">
              <w:rPr>
                <w:color w:val="0000FF"/>
              </w:rPr>
              <w:tab/>
              <w:t>=</w:t>
            </w:r>
            <w:r w:rsidRPr="005737C9">
              <w:rPr>
                <w:color w:val="0000FF"/>
              </w:rPr>
              <w:tab/>
              <w:t>number of tonnes of waste received at the landfill during the return period determined in accordance with regulation 25</w:t>
            </w:r>
          </w:p>
          <w:p w:rsidR="00EF4EC1" w:rsidRPr="005737C9" w:rsidRDefault="00EF4EC1" w:rsidP="00EF4EC1">
            <w:pPr>
              <w:pStyle w:val="Slide3"/>
              <w:rPr>
                <w:color w:val="0000FF"/>
              </w:rPr>
            </w:pPr>
            <w:r w:rsidRPr="005737C9">
              <w:rPr>
                <w:color w:val="0000FF"/>
              </w:rPr>
              <w:t>r</w:t>
            </w:r>
            <w:r w:rsidRPr="005737C9">
              <w:rPr>
                <w:color w:val="0000FF"/>
              </w:rPr>
              <w:tab/>
              <w:t>=</w:t>
            </w:r>
            <w:r w:rsidRPr="005737C9">
              <w:rPr>
                <w:color w:val="0000FF"/>
              </w:rPr>
              <w:tab/>
              <w:t xml:space="preserve">rate for the return period </w:t>
            </w:r>
          </w:p>
        </w:tc>
      </w:tr>
      <w:tr w:rsidR="00EF4EC1" w:rsidRPr="00C80BD9" w:rsidTr="00EF4EC1">
        <w:tc>
          <w:tcPr>
            <w:tcW w:w="8505" w:type="dxa"/>
            <w:shd w:val="clear" w:color="auto" w:fill="FFFFFF"/>
          </w:tcPr>
          <w:p w:rsidR="00EF4EC1" w:rsidRPr="005737C9" w:rsidRDefault="00EF4EC1" w:rsidP="00EF4EC1">
            <w:pPr>
              <w:pStyle w:val="Slide2"/>
              <w:rPr>
                <w:i/>
                <w:color w:val="0000FF"/>
              </w:rPr>
            </w:pPr>
            <w:r w:rsidRPr="005737C9">
              <w:rPr>
                <w:i/>
                <w:color w:val="0000FF"/>
              </w:rPr>
              <w:t>Written with the 92% as a fraction:</w:t>
            </w:r>
            <w:r>
              <w:rPr>
                <w:i/>
                <w:color w:val="0000FF"/>
              </w:rPr>
              <w:t xml:space="preserve">     </w:t>
            </w:r>
          </w:p>
          <w:p w:rsidR="00EF4EC1" w:rsidRPr="005737C9" w:rsidRDefault="00EF4EC1" w:rsidP="00EF4EC1">
            <w:pPr>
              <w:pStyle w:val="SlideEquation"/>
              <w:rPr>
                <w:color w:val="0000FF"/>
              </w:rPr>
            </w:pPr>
            <m:oMathPara>
              <m:oMathParaPr>
                <m:jc m:val="left"/>
              </m:oMathParaPr>
              <m:oMath>
                <m:r>
                  <m:rPr>
                    <m:nor/>
                  </m:rPr>
                  <w:rPr>
                    <w:color w:val="0000FF"/>
                  </w:rPr>
                  <m:t>v</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w</m:t>
                    </m:r>
                    <m:r>
                      <m:rPr>
                        <m:nor/>
                      </m:rPr>
                      <w:rPr>
                        <w:rFonts w:ascii="Cambria Math"/>
                        <w:color w:val="0000FF"/>
                      </w:rPr>
                      <m:t xml:space="preserve"> </m:t>
                    </m:r>
                    <m:r>
                      <m:rPr>
                        <m:nor/>
                      </m:rPr>
                      <w:rPr>
                        <w:rFonts w:ascii="Cambria Math" w:hAnsi="Cambria Math"/>
                        <w:color w:val="0000FF"/>
                      </w:rPr>
                      <m:t>×</m:t>
                    </m:r>
                    <m:f>
                      <m:fPr>
                        <m:ctrlPr>
                          <w:rPr>
                            <w:rFonts w:ascii="Cambria Math" w:hAnsi="Cambria Math"/>
                            <w:i/>
                            <w:color w:val="0000FF"/>
                          </w:rPr>
                        </m:ctrlPr>
                      </m:fPr>
                      <m:num>
                        <m:r>
                          <m:rPr>
                            <m:nor/>
                          </m:rPr>
                          <w:rPr>
                            <w:color w:val="0000FF"/>
                          </w:rPr>
                          <m:t>92</m:t>
                        </m:r>
                      </m:num>
                      <m:den>
                        <m:r>
                          <m:rPr>
                            <m:nor/>
                          </m:rPr>
                          <w:rPr>
                            <w:color w:val="0000FF"/>
                          </w:rPr>
                          <m:t>100</m:t>
                        </m:r>
                      </m:den>
                    </m:f>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r</m:t>
                </m:r>
                <m:r>
                  <m:rPr>
                    <m:nor/>
                  </m:rPr>
                  <w:rPr>
                    <w:rFonts w:ascii="Cambria Math"/>
                    <w:color w:val="0000FF"/>
                  </w:rPr>
                  <m:t xml:space="preserve"> </m:t>
                </m:r>
              </m:oMath>
            </m:oMathPara>
          </w:p>
          <w:p w:rsidR="00EF4EC1" w:rsidRPr="005737C9" w:rsidRDefault="00EF4EC1" w:rsidP="00EF4EC1">
            <w:pPr>
              <w:pStyle w:val="Slide2"/>
              <w:rPr>
                <w:i/>
                <w:color w:val="0000FF"/>
              </w:rPr>
            </w:pPr>
            <w:r w:rsidRPr="005737C9">
              <w:rPr>
                <w:i/>
                <w:color w:val="0000FF"/>
              </w:rPr>
              <w:t>or as a decimal:</w:t>
            </w:r>
          </w:p>
          <w:p w:rsidR="00EF4EC1" w:rsidRPr="00E91CE5" w:rsidRDefault="00EF4EC1" w:rsidP="00EF4EC1">
            <w:pPr>
              <w:pStyle w:val="SlideEquation"/>
              <w:rPr>
                <w:color w:val="0000FF"/>
              </w:rPr>
            </w:pPr>
            <m:oMathPara>
              <m:oMathParaPr>
                <m:jc m:val="left"/>
              </m:oMathParaPr>
              <m:oMath>
                <m:r>
                  <m:rPr>
                    <m:nor/>
                  </m:rPr>
                  <w:rPr>
                    <w:color w:val="0000FF"/>
                  </w:rPr>
                  <m:t xml:space="preserve">v = </m:t>
                </m:r>
                <m:d>
                  <m:dPr>
                    <m:ctrlPr>
                      <w:rPr>
                        <w:rFonts w:ascii="Cambria Math" w:hAnsi="Cambria Math"/>
                        <w:i/>
                        <w:color w:val="0000FF"/>
                      </w:rPr>
                    </m:ctrlPr>
                  </m:dPr>
                  <m:e>
                    <m:r>
                      <m:rPr>
                        <m:nor/>
                      </m:rPr>
                      <w:rPr>
                        <w:color w:val="0000FF"/>
                      </w:rPr>
                      <m:t>w × 0.92</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r</m:t>
                </m:r>
              </m:oMath>
            </m:oMathPara>
          </w:p>
        </w:tc>
      </w:tr>
    </w:tbl>
    <w:p w:rsidR="00EF4EC1" w:rsidRPr="005737C9" w:rsidRDefault="00EF4EC1" w:rsidP="00EF4EC1">
      <w:pPr>
        <w:pStyle w:val="Heading5"/>
      </w:pPr>
      <w:r w:rsidRPr="005737C9">
        <w:t>m</w:t>
      </w:r>
      <w:r w:rsidRPr="005737C9">
        <w:rPr>
          <w:vertAlign w:val="superscript"/>
        </w:rPr>
        <w:t>2</w:t>
      </w:r>
      <w:r w:rsidRPr="005737C9">
        <w:tab/>
        <w:t>superscripts</w:t>
      </w:r>
    </w:p>
    <w:p w:rsidR="00EF4EC1" w:rsidRPr="007D7133" w:rsidRDefault="00EF4EC1" w:rsidP="00EF4EC1">
      <w:pPr>
        <w:pStyle w:val="Normaltext1"/>
      </w:pPr>
      <w:r w:rsidRPr="007D7133">
        <w:t>A superscript is used to indicate an exponent – that a value is to be multiplied by itself. The superscript number indicates how many times the value is to be multiplied. For example:</w:t>
      </w:r>
    </w:p>
    <w:p w:rsidR="00EF4EC1" w:rsidRPr="007D7133" w:rsidRDefault="00EF4EC1" w:rsidP="00EF4EC1">
      <w:pPr>
        <w:pStyle w:val="Normaltext2"/>
      </w:pPr>
      <w:r w:rsidRPr="007D7133">
        <w:t>m</w:t>
      </w:r>
      <w:r w:rsidRPr="00E331FB">
        <w:rPr>
          <w:vertAlign w:val="superscript"/>
        </w:rPr>
        <w:t>2</w:t>
      </w:r>
      <w:r w:rsidRPr="007D7133">
        <w:tab/>
        <w:t>(m squared)</w:t>
      </w:r>
      <w:r w:rsidRPr="007D7133">
        <w:tab/>
        <w:t xml:space="preserve">= m </w:t>
      </w:r>
      <w:r w:rsidRPr="007D7133">
        <w:sym w:font="Symbol" w:char="F0B4"/>
      </w:r>
      <w:r w:rsidRPr="007D7133">
        <w:t xml:space="preserve"> m</w:t>
      </w:r>
    </w:p>
    <w:p w:rsidR="00EF4EC1" w:rsidRPr="007D7133" w:rsidRDefault="00EF4EC1" w:rsidP="00EF4EC1">
      <w:pPr>
        <w:pStyle w:val="Normaltext2"/>
      </w:pPr>
      <w:r w:rsidRPr="007D7133">
        <w:t>m</w:t>
      </w:r>
      <w:r w:rsidRPr="00E331FB">
        <w:rPr>
          <w:vertAlign w:val="superscript"/>
        </w:rPr>
        <w:t>3</w:t>
      </w:r>
      <w:r w:rsidRPr="007D7133">
        <w:tab/>
        <w:t>(m cubed)</w:t>
      </w:r>
      <w:r w:rsidRPr="007D7133">
        <w:tab/>
        <w:t xml:space="preserve">= m </w:t>
      </w:r>
      <w:r w:rsidRPr="007D7133">
        <w:sym w:font="Symbol" w:char="F0B4"/>
      </w:r>
      <w:r w:rsidRPr="007D7133">
        <w:t xml:space="preserve"> m </w:t>
      </w:r>
      <w:r w:rsidRPr="007D7133">
        <w:sym w:font="Symbol" w:char="F0B4"/>
      </w:r>
      <w:r w:rsidRPr="007D7133">
        <w:t xml:space="preserve"> m</w:t>
      </w:r>
    </w:p>
    <w:p w:rsidR="00EF4EC1" w:rsidRPr="007D7133" w:rsidRDefault="00EF4EC1" w:rsidP="00EF4EC1">
      <w:pPr>
        <w:pStyle w:val="Normaltext2"/>
      </w:pPr>
      <w:r w:rsidRPr="007D7133">
        <w:t>m</w:t>
      </w:r>
      <w:r w:rsidRPr="00E331FB">
        <w:rPr>
          <w:vertAlign w:val="superscript"/>
        </w:rPr>
        <w:t>n</w:t>
      </w:r>
      <w:r w:rsidRPr="007D7133">
        <w:tab/>
        <w:t>(m to the power of n)</w:t>
      </w:r>
      <w:r w:rsidRPr="007D7133">
        <w:tab/>
        <w:t xml:space="preserve">= m </w:t>
      </w:r>
      <w:r w:rsidRPr="007D7133">
        <w:sym w:font="Symbol" w:char="F0B4"/>
      </w:r>
      <w:r w:rsidRPr="007D7133">
        <w:t xml:space="preserve"> m </w:t>
      </w:r>
      <w:r w:rsidRPr="007D7133">
        <w:sym w:font="Symbol" w:char="F0B4"/>
      </w:r>
      <w:r w:rsidRPr="007D7133">
        <w:t xml:space="preserve"> m </w:t>
      </w:r>
      <w:r w:rsidRPr="007D7133">
        <w:sym w:font="Symbol" w:char="F0B4"/>
      </w:r>
      <w:r w:rsidRPr="007D7133">
        <w:t xml:space="preserve"> </w:t>
      </w:r>
      <w:r>
        <w:t>…</w:t>
      </w:r>
      <w:r w:rsidRPr="007D7133">
        <w:t xml:space="preserve"> </w:t>
      </w:r>
      <w:r w:rsidRPr="007D7133">
        <w:sym w:font="Symbol" w:char="F0B4"/>
      </w:r>
      <w:r w:rsidRPr="007D7133">
        <w:t xml:space="preserve"> m (n times)</w:t>
      </w:r>
    </w:p>
    <w:p w:rsidR="00EF4EC1" w:rsidRPr="007D7133" w:rsidRDefault="00EF4EC1" w:rsidP="00EF4EC1">
      <w:pPr>
        <w:pStyle w:val="Normaltext1"/>
      </w:pPr>
      <w:r w:rsidRPr="007D7133">
        <w:t>Example 22 shows a simple example of the use of a value squared. See examples 5 and 6 for more complex situations.</w:t>
      </w:r>
    </w:p>
    <w:p w:rsidR="00EF4EC1" w:rsidRPr="00C80BD9" w:rsidRDefault="00EF4EC1" w:rsidP="00EF4EC1">
      <w:pPr>
        <w:pStyle w:val="Slidelabel"/>
      </w:pPr>
      <w:bookmarkStart w:id="144" w:name="_Ref475785553"/>
      <w:r w:rsidRPr="00C80BD9">
        <w:lastRenderedPageBreak/>
        <w:t>Use of exponents</w:t>
      </w:r>
      <w:bookmarkEnd w:id="144"/>
      <w:r>
        <w:t xml:space="preserve"> </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rPr>
          <w:cantSplit/>
        </w:trPr>
        <w:tc>
          <w:tcPr>
            <w:tcW w:w="8505" w:type="dxa"/>
            <w:shd w:val="clear" w:color="auto" w:fill="FFFFFF"/>
          </w:tcPr>
          <w:p w:rsidR="00EF4EC1" w:rsidRPr="005737C9" w:rsidRDefault="00EF4EC1" w:rsidP="00EF4EC1">
            <w:pPr>
              <w:pStyle w:val="Slide1"/>
              <w:keepNext w:val="0"/>
              <w:rPr>
                <w:color w:val="0000FF"/>
              </w:rPr>
            </w:pPr>
            <w:r w:rsidRPr="005737C9">
              <w:rPr>
                <w:color w:val="0000FF"/>
              </w:rPr>
              <w:t>73</w:t>
            </w:r>
            <w:r w:rsidRPr="005737C9">
              <w:rPr>
                <w:color w:val="0000FF"/>
              </w:rPr>
              <w:tab/>
            </w:r>
            <w:bookmarkStart w:id="145" w:name="_Toc523536274"/>
            <w:bookmarkStart w:id="146" w:name="_Toc94079460"/>
            <w:bookmarkStart w:id="147" w:name="_Toc187209033"/>
            <w:bookmarkStart w:id="148" w:name="_Toc187462716"/>
            <w:bookmarkStart w:id="149" w:name="_Toc194746773"/>
            <w:r w:rsidRPr="005737C9">
              <w:rPr>
                <w:color w:val="0000FF"/>
              </w:rPr>
              <w:t>Geothermal royalties</w:t>
            </w:r>
            <w:bookmarkEnd w:id="145"/>
            <w:bookmarkEnd w:id="146"/>
            <w:bookmarkEnd w:id="147"/>
            <w:bookmarkEnd w:id="148"/>
            <w:bookmarkEnd w:id="149"/>
          </w:p>
          <w:p w:rsidR="00EF4EC1" w:rsidRPr="005737C9" w:rsidRDefault="00EF4EC1" w:rsidP="00EF4EC1">
            <w:pPr>
              <w:pStyle w:val="Slide2"/>
              <w:rPr>
                <w:color w:val="0000FF"/>
              </w:rPr>
            </w:pPr>
            <w:r w:rsidRPr="005737C9">
              <w:rPr>
                <w:color w:val="0000FF"/>
              </w:rPr>
              <w:tab/>
              <w:t>If the diameter of the bore is more or less than 100 mm, the annual royalty shall be calculated in accordance with the following formula:</w:t>
            </w:r>
          </w:p>
          <w:p w:rsidR="00EF4EC1" w:rsidRPr="005737C9" w:rsidRDefault="00EF4EC1" w:rsidP="00EF4EC1">
            <w:pPr>
              <w:pStyle w:val="Slide2"/>
              <w:rPr>
                <w:color w:val="0000FF"/>
                <w:oMath/>
              </w:rPr>
            </w:pPr>
            <m:oMathPara>
              <m:oMathParaPr>
                <m:jc m:val="left"/>
              </m:oMathParaPr>
              <m:oMath>
                <m:r>
                  <m:rPr>
                    <m:nor/>
                  </m:rPr>
                  <w:rPr>
                    <w:color w:val="0000FF"/>
                  </w:rPr>
                  <m:t>b</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i/>
                        <w:color w:val="0000FF"/>
                      </w:rPr>
                    </m:ctrlPr>
                  </m:fPr>
                  <m:num>
                    <m:sSup>
                      <m:sSupPr>
                        <m:ctrlPr>
                          <w:rPr>
                            <w:rFonts w:ascii="Cambria Math" w:hAnsi="Cambria Math"/>
                            <w:i/>
                            <w:color w:val="0000FF"/>
                          </w:rPr>
                        </m:ctrlPr>
                      </m:sSupPr>
                      <m:e>
                        <m:r>
                          <m:rPr>
                            <m:nor/>
                          </m:rPr>
                          <w:rPr>
                            <w:color w:val="0000FF"/>
                          </w:rPr>
                          <m:t>r</m:t>
                        </m:r>
                      </m:e>
                      <m:sup>
                        <m:r>
                          <m:rPr>
                            <m:nor/>
                          </m:rPr>
                          <w:rPr>
                            <w:color w:val="0000FF"/>
                          </w:rPr>
                          <m:t>2</m:t>
                        </m:r>
                      </m:sup>
                    </m:sSup>
                  </m:num>
                  <m:den>
                    <m:r>
                      <m:rPr>
                        <m:nor/>
                      </m:rPr>
                      <w:rPr>
                        <w:color w:val="0000FF"/>
                      </w:rPr>
                      <m:t>2</m:t>
                    </m:r>
                    <m:r>
                      <m:rPr>
                        <m:nor/>
                      </m:rPr>
                      <w:rPr>
                        <w:rFonts w:ascii="Cambria Math"/>
                        <w:color w:val="0000FF"/>
                      </w:rPr>
                      <m:t> </m:t>
                    </m:r>
                    <m:r>
                      <m:rPr>
                        <m:nor/>
                      </m:rPr>
                      <w:rPr>
                        <w:color w:val="0000FF"/>
                      </w:rPr>
                      <m:t>500</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a</m:t>
                </m:r>
              </m:oMath>
            </m:oMathPara>
          </w:p>
          <w:p w:rsidR="00EF4EC1" w:rsidRPr="005737C9" w:rsidRDefault="00EF4EC1" w:rsidP="00EF4EC1">
            <w:pPr>
              <w:pStyle w:val="Slide3"/>
              <w:rPr>
                <w:color w:val="0000FF"/>
              </w:rPr>
            </w:pPr>
            <w:r w:rsidRPr="005737C9">
              <w:rPr>
                <w:color w:val="0000FF"/>
              </w:rPr>
              <w:t>where:</w:t>
            </w:r>
          </w:p>
          <w:p w:rsidR="00EF4EC1" w:rsidRPr="005737C9" w:rsidRDefault="00EF4EC1" w:rsidP="00EF4EC1">
            <w:pPr>
              <w:pStyle w:val="Slide3"/>
              <w:rPr>
                <w:color w:val="0000FF"/>
              </w:rPr>
            </w:pPr>
            <w:r w:rsidRPr="005737C9">
              <w:rPr>
                <w:color w:val="0000FF"/>
              </w:rPr>
              <w:t>b</w:t>
            </w:r>
            <w:r w:rsidRPr="005737C9">
              <w:rPr>
                <w:color w:val="0000FF"/>
              </w:rPr>
              <w:tab/>
              <w:t>=</w:t>
            </w:r>
            <w:r w:rsidRPr="005737C9">
              <w:rPr>
                <w:color w:val="0000FF"/>
              </w:rPr>
              <w:tab/>
              <w:t>the annual royalty for the bore</w:t>
            </w:r>
          </w:p>
          <w:p w:rsidR="00EF4EC1" w:rsidRPr="005737C9" w:rsidRDefault="00EF4EC1" w:rsidP="00EF4EC1">
            <w:pPr>
              <w:pStyle w:val="Slide3"/>
              <w:rPr>
                <w:color w:val="0000FF"/>
              </w:rPr>
            </w:pPr>
            <w:r w:rsidRPr="005737C9">
              <w:rPr>
                <w:color w:val="0000FF"/>
              </w:rPr>
              <w:t>r</w:t>
            </w:r>
            <w:r w:rsidRPr="005737C9">
              <w:rPr>
                <w:color w:val="0000FF"/>
              </w:rPr>
              <w:tab/>
              <w:t>=</w:t>
            </w:r>
            <w:r w:rsidRPr="005737C9">
              <w:rPr>
                <w:color w:val="0000FF"/>
              </w:rPr>
              <w:tab/>
              <w:t>radius in millimetres of the bore</w:t>
            </w:r>
          </w:p>
          <w:p w:rsidR="00EF4EC1" w:rsidRPr="005737C9" w:rsidRDefault="00EF4EC1" w:rsidP="00EF4EC1">
            <w:pPr>
              <w:pStyle w:val="Slide3"/>
              <w:rPr>
                <w:color w:val="0000FF"/>
              </w:rPr>
            </w:pPr>
            <w:r w:rsidRPr="005737C9">
              <w:rPr>
                <w:color w:val="0000FF"/>
              </w:rPr>
              <w:t>a</w:t>
            </w:r>
            <w:r w:rsidRPr="005737C9">
              <w:rPr>
                <w:color w:val="0000FF"/>
              </w:rPr>
              <w:tab/>
              <w:t>=</w:t>
            </w:r>
            <w:r w:rsidRPr="005737C9">
              <w:rPr>
                <w:color w:val="0000FF"/>
              </w:rPr>
              <w:tab/>
              <w:t>annual royalty under section 72 for a bore of 100 mm diameter.</w:t>
            </w:r>
          </w:p>
        </w:tc>
      </w:tr>
    </w:tbl>
    <w:p w:rsidR="00EF4EC1" w:rsidRPr="00E91CE5" w:rsidRDefault="00D22D1E" w:rsidP="00EF4EC1">
      <w:pPr>
        <w:keepNext/>
        <w:tabs>
          <w:tab w:val="left" w:pos="1134"/>
        </w:tabs>
        <w:spacing w:before="360" w:line="240" w:lineRule="atLeast"/>
        <w:outlineLvl w:val="3"/>
        <w:rPr>
          <w:rFonts w:ascii="Arial" w:hAnsi="Arial" w:cs="Arial"/>
          <w:b/>
          <w:sz w:val="22"/>
          <w:szCs w:val="22"/>
        </w:rPr>
      </w:pPr>
      <m:oMath>
        <m:rad>
          <m:radPr>
            <m:degHide m:val="1"/>
            <m:ctrlPr>
              <w:rPr>
                <w:rFonts w:ascii="Cambria Math" w:hAnsi="Cambria Math" w:cs="Arial"/>
                <w:b/>
                <w:sz w:val="22"/>
                <w:szCs w:val="22"/>
              </w:rPr>
            </m:ctrlPr>
          </m:radPr>
          <m:deg/>
          <m:e/>
        </m:rad>
      </m:oMath>
      <w:r w:rsidR="00EF4EC1" w:rsidRPr="00E91CE5">
        <w:rPr>
          <w:rFonts w:ascii="Arial" w:hAnsi="Arial" w:cs="Arial"/>
          <w:b/>
          <w:sz w:val="22"/>
          <w:szCs w:val="22"/>
        </w:rPr>
        <w:tab/>
        <w:t>square root</w:t>
      </w:r>
    </w:p>
    <w:p w:rsidR="00EF4EC1" w:rsidRPr="007D7133" w:rsidRDefault="00EF4EC1" w:rsidP="00EF4EC1">
      <w:pPr>
        <w:pStyle w:val="Normaltext1"/>
      </w:pPr>
      <w:r w:rsidRPr="007D7133">
        <w:t>This symbol indicates the reverse of an exponent – the number which, if multiplied by itself the requisite number of times, is equal to the number under the symbol. For example:</w:t>
      </w:r>
    </w:p>
    <w:p w:rsidR="00EF4EC1" w:rsidRPr="007D7133" w:rsidRDefault="00D22D1E" w:rsidP="00EF4EC1">
      <w:pPr>
        <w:pStyle w:val="Normaltext2"/>
      </w:pPr>
      <m:oMath>
        <m:rad>
          <m:radPr>
            <m:degHide m:val="1"/>
            <m:ctrlPr>
              <w:rPr>
                <w:rFonts w:ascii="Cambria Math" w:hAnsi="Cambria Math"/>
              </w:rPr>
            </m:ctrlPr>
          </m:radPr>
          <m:deg/>
          <m:e>
            <m:r>
              <m:rPr>
                <m:nor/>
              </m:rPr>
              <m:t>A</m:t>
            </m:r>
          </m:e>
        </m:rad>
      </m:oMath>
      <w:r w:rsidR="00EF4EC1" w:rsidRPr="007D7133">
        <w:tab/>
        <w:t>(square root of A)</w:t>
      </w:r>
      <w:r w:rsidR="00EF4EC1" w:rsidRPr="007D7133">
        <w:tab/>
        <w:t>eg:</w:t>
      </w:r>
      <w:r w:rsidR="00EF4EC1" w:rsidRPr="007D7133">
        <w:tab/>
      </w:r>
      <m:oMath>
        <m:rad>
          <m:radPr>
            <m:degHide m:val="1"/>
            <m:ctrlPr>
              <w:rPr>
                <w:rFonts w:ascii="Cambria Math" w:hAnsi="Cambria Math"/>
              </w:rPr>
            </m:ctrlPr>
          </m:radPr>
          <m:deg/>
          <m:e>
            <m:r>
              <m:rPr>
                <m:nor/>
              </m:rPr>
              <m:t>9</m:t>
            </m:r>
          </m:e>
        </m:rad>
        <m:r>
          <m:rPr>
            <m:nor/>
          </m:rPr>
          <w:rPr>
            <w:rFonts w:ascii="Cambria Math"/>
          </w:rPr>
          <m:t xml:space="preserve"> </m:t>
        </m:r>
        <m:r>
          <m:rPr>
            <m:nor/>
          </m:rPr>
          <m:t>=</m:t>
        </m:r>
        <m:r>
          <m:rPr>
            <m:nor/>
          </m:rPr>
          <w:rPr>
            <w:rFonts w:ascii="Cambria Math"/>
          </w:rPr>
          <m:t xml:space="preserve"> </m:t>
        </m:r>
        <m:r>
          <m:rPr>
            <m:nor/>
          </m:rPr>
          <m:t>3</m:t>
        </m:r>
      </m:oMath>
      <w:r w:rsidR="00EF4EC1" w:rsidRPr="007D7133">
        <w:t xml:space="preserve"> </w:t>
      </w:r>
      <w:r w:rsidR="00EF4EC1" w:rsidRPr="007D7133">
        <w:tab/>
        <w:t xml:space="preserve">ie [ 3 </w:t>
      </w:r>
      <w:r w:rsidR="00EF4EC1" w:rsidRPr="007D7133">
        <w:sym w:font="Symbol" w:char="F0B4"/>
      </w:r>
      <w:r w:rsidR="00EF4EC1" w:rsidRPr="007D7133">
        <w:t xml:space="preserve"> 3</w:t>
      </w:r>
      <w:r w:rsidR="00EF4EC1">
        <w:t xml:space="preserve"> = </w:t>
      </w:r>
      <w:r w:rsidR="00EF4EC1" w:rsidRPr="007D7133">
        <w:t>9 ]</w:t>
      </w:r>
    </w:p>
    <w:p w:rsidR="00EF4EC1" w:rsidRPr="007D7133" w:rsidRDefault="00D22D1E" w:rsidP="00EF4EC1">
      <w:pPr>
        <w:pStyle w:val="Normaltext2"/>
      </w:pPr>
      <m:oMath>
        <m:rad>
          <m:radPr>
            <m:ctrlPr>
              <w:rPr>
                <w:rFonts w:ascii="Cambria Math" w:hAnsi="Cambria Math"/>
              </w:rPr>
            </m:ctrlPr>
          </m:radPr>
          <m:deg>
            <m:r>
              <m:rPr>
                <m:nor/>
              </m:rPr>
              <m:t>3</m:t>
            </m:r>
          </m:deg>
          <m:e>
            <m:r>
              <m:rPr>
                <m:nor/>
              </m:rPr>
              <m:t>A</m:t>
            </m:r>
          </m:e>
        </m:rad>
      </m:oMath>
      <w:r w:rsidR="00EF4EC1" w:rsidRPr="007D7133">
        <w:tab/>
        <w:t>(cube root of A)</w:t>
      </w:r>
      <w:r w:rsidR="00EF4EC1" w:rsidRPr="007D7133">
        <w:tab/>
        <w:t>eg:</w:t>
      </w:r>
      <w:r w:rsidR="00EF4EC1" w:rsidRPr="007D7133">
        <w:tab/>
      </w:r>
      <m:oMath>
        <m:rad>
          <m:radPr>
            <m:ctrlPr>
              <w:rPr>
                <w:rFonts w:ascii="Cambria Math" w:hAnsi="Cambria Math"/>
              </w:rPr>
            </m:ctrlPr>
          </m:radPr>
          <m:deg>
            <m:r>
              <m:rPr>
                <m:nor/>
              </m:rPr>
              <m:t>3</m:t>
            </m:r>
          </m:deg>
          <m:e>
            <m:r>
              <m:rPr>
                <m:nor/>
              </m:rPr>
              <m:t>125</m:t>
            </m:r>
            <m:r>
              <m:rPr>
                <m:nor/>
              </m:rPr>
              <w:rPr>
                <w:rFonts w:ascii="Cambria Math"/>
              </w:rPr>
              <m:t xml:space="preserve"> </m:t>
            </m:r>
          </m:e>
        </m:rad>
        <m:r>
          <m:rPr>
            <m:nor/>
          </m:rPr>
          <m:t>=</m:t>
        </m:r>
        <m:r>
          <m:rPr>
            <m:nor/>
          </m:rPr>
          <w:rPr>
            <w:rFonts w:ascii="Cambria Math"/>
          </w:rPr>
          <m:t xml:space="preserve"> </m:t>
        </m:r>
        <m:r>
          <m:rPr>
            <m:nor/>
          </m:rPr>
          <m:t>5</m:t>
        </m:r>
      </m:oMath>
      <w:r w:rsidR="00EF4EC1" w:rsidRPr="007D7133">
        <w:tab/>
        <w:t xml:space="preserve">ie [ 5 </w:t>
      </w:r>
      <w:r w:rsidR="00EF4EC1" w:rsidRPr="007D7133">
        <w:sym w:font="Symbol" w:char="F0B4"/>
      </w:r>
      <w:r w:rsidR="00EF4EC1" w:rsidRPr="007D7133">
        <w:t xml:space="preserve"> 5 </w:t>
      </w:r>
      <w:r w:rsidR="00EF4EC1" w:rsidRPr="007D7133">
        <w:sym w:font="Symbol" w:char="F0B4"/>
      </w:r>
      <w:r w:rsidR="00EF4EC1" w:rsidRPr="007D7133">
        <w:t xml:space="preserve"> 5</w:t>
      </w:r>
      <w:r w:rsidR="00EF4EC1">
        <w:t xml:space="preserve"> = </w:t>
      </w:r>
      <w:r w:rsidR="00EF4EC1" w:rsidRPr="007D7133">
        <w:t>125 ]</w:t>
      </w:r>
    </w:p>
    <w:p w:rsidR="00EF4EC1" w:rsidRPr="007D7133" w:rsidRDefault="00D22D1E" w:rsidP="00EF4EC1">
      <w:pPr>
        <w:pStyle w:val="Normaltext2"/>
      </w:pPr>
      <m:oMath>
        <m:rad>
          <m:radPr>
            <m:ctrlPr>
              <w:rPr>
                <w:rFonts w:ascii="Cambria Math" w:hAnsi="Cambria Math"/>
              </w:rPr>
            </m:ctrlPr>
          </m:radPr>
          <m:deg>
            <m:r>
              <m:rPr>
                <m:nor/>
              </m:rPr>
              <m:t>n</m:t>
            </m:r>
          </m:deg>
          <m:e>
            <m:r>
              <m:rPr>
                <m:nor/>
              </m:rPr>
              <m:t>A</m:t>
            </m:r>
          </m:e>
        </m:rad>
      </m:oMath>
      <w:r w:rsidR="00EF4EC1" w:rsidRPr="007D7133">
        <w:tab/>
        <w:t>(nth root of A)</w:t>
      </w:r>
      <w:r w:rsidR="00EF4EC1" w:rsidRPr="007D7133">
        <w:tab/>
      </w:r>
    </w:p>
    <w:p w:rsidR="00EF4EC1" w:rsidRPr="00C80BD9" w:rsidRDefault="00EF4EC1" w:rsidP="00EF4EC1">
      <w:pPr>
        <w:pStyle w:val="Slidelabel"/>
      </w:pPr>
      <w:r w:rsidRPr="00C80BD9">
        <w:t xml:space="preserve">Use </w:t>
      </w:r>
      <w:r w:rsidRPr="005737C9">
        <w:t>of</w:t>
      </w:r>
      <w:r w:rsidRPr="00C80BD9">
        <w:t xml:space="preserve"> square root</w:t>
      </w:r>
      <w:r>
        <w:t xml:space="preserve"> </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1"/>
              <w:keepNext w:val="0"/>
              <w:rPr>
                <w:color w:val="0000FF"/>
              </w:rPr>
            </w:pPr>
            <w:r w:rsidRPr="00E331FB">
              <w:rPr>
                <w:color w:val="0000FF"/>
              </w:rPr>
              <w:t>13</w:t>
            </w:r>
            <w:r w:rsidRPr="00E331FB">
              <w:rPr>
                <w:color w:val="0000FF"/>
              </w:rPr>
              <w:tab/>
              <w:t>Industry size modification</w:t>
            </w:r>
          </w:p>
          <w:p w:rsidR="00EF4EC1" w:rsidRPr="00E331FB" w:rsidRDefault="00EF4EC1" w:rsidP="00EF4EC1">
            <w:pPr>
              <w:pStyle w:val="Slide2"/>
              <w:rPr>
                <w:color w:val="0000FF"/>
              </w:rPr>
            </w:pPr>
            <w:r w:rsidRPr="00E331FB">
              <w:rPr>
                <w:color w:val="0000FF"/>
              </w:rPr>
              <w:tab/>
              <w:t>The Corporation must calculate the weighting using the following formulae:</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if the liable earnings of the levy payer in the experience period are $2</w:t>
            </w:r>
            <w:r>
              <w:rPr>
                <w:color w:val="0000FF"/>
              </w:rPr>
              <w:t> 000 000</w:t>
            </w:r>
            <w:r w:rsidRPr="00E331FB">
              <w:rPr>
                <w:color w:val="0000FF"/>
              </w:rPr>
              <w:t xml:space="preserve"> or less:</w:t>
            </w:r>
          </w:p>
          <w:p w:rsidR="00EF4EC1" w:rsidRPr="00E331FB" w:rsidRDefault="00EF4EC1" w:rsidP="00EF4EC1">
            <w:pPr>
              <w:pStyle w:val="SlideEquation"/>
              <w:ind w:left="1134"/>
              <w:rPr>
                <w:color w:val="0000FF"/>
                <w:oMath/>
              </w:rPr>
            </w:pPr>
            <m:oMathPara>
              <m:oMathParaPr>
                <m:jc m:val="left"/>
              </m:oMathParaPr>
              <m:oMath>
                <m:r>
                  <m:rPr>
                    <m:nor/>
                  </m:rPr>
                  <w:rPr>
                    <w:color w:val="0000FF"/>
                  </w:rPr>
                  <m:t>w</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0.05</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ad>
                  <m:radPr>
                    <m:degHide m:val="1"/>
                    <m:ctrlPr>
                      <w:rPr>
                        <w:rFonts w:ascii="Cambria Math" w:hAnsi="Cambria Math"/>
                        <w:color w:val="0000FF"/>
                      </w:rPr>
                    </m:ctrlPr>
                  </m:radPr>
                  <m:deg/>
                  <m:e>
                    <m:f>
                      <m:fPr>
                        <m:ctrlPr>
                          <w:rPr>
                            <w:rFonts w:ascii="Cambria Math" w:hAnsi="Cambria Math"/>
                            <w:color w:val="0000FF"/>
                          </w:rPr>
                        </m:ctrlPr>
                      </m:fPr>
                      <m:num>
                        <m:r>
                          <m:rPr>
                            <m:nor/>
                          </m:rPr>
                          <w:rPr>
                            <w:color w:val="0000FF"/>
                          </w:rPr>
                          <m:t>e</m:t>
                        </m:r>
                      </m:num>
                      <m:den>
                        <m:r>
                          <m:rPr>
                            <m:nor/>
                          </m:rPr>
                          <w:rPr>
                            <w:color w:val="0000FF"/>
                          </w:rPr>
                          <m:t>2</m:t>
                        </m:r>
                        <m:r>
                          <m:rPr>
                            <m:nor/>
                          </m:rPr>
                          <w:rPr>
                            <w:rFonts w:ascii="Cambria Math"/>
                            <w:color w:val="0000FF"/>
                          </w:rPr>
                          <m:t> </m:t>
                        </m:r>
                        <m:r>
                          <m:rPr>
                            <m:nor/>
                          </m:rPr>
                          <w:rPr>
                            <w:color w:val="0000FF"/>
                          </w:rPr>
                          <m:t>000 000</m:t>
                        </m:r>
                      </m:den>
                    </m:f>
                  </m:e>
                </m:rad>
              </m:oMath>
            </m:oMathPara>
          </w:p>
          <w:p w:rsidR="00EF4EC1" w:rsidRPr="00E331FB" w:rsidRDefault="00EF4EC1" w:rsidP="00EF4EC1">
            <w:pPr>
              <w:pStyle w:val="SlideEquation"/>
              <w:ind w:left="1134"/>
              <w:rPr>
                <w:color w:val="0000FF"/>
              </w:rPr>
            </w:pPr>
            <w:r w:rsidRPr="00E331FB">
              <w:rPr>
                <w:color w:val="0000FF"/>
              </w:rPr>
              <w:t>where:</w:t>
            </w:r>
          </w:p>
          <w:p w:rsidR="00EF4EC1" w:rsidRPr="00E331FB" w:rsidRDefault="00EF4EC1" w:rsidP="00EF4EC1">
            <w:pPr>
              <w:pStyle w:val="Slide4"/>
              <w:tabs>
                <w:tab w:val="right" w:pos="1588"/>
              </w:tabs>
              <w:rPr>
                <w:color w:val="0000FF"/>
              </w:rPr>
            </w:pPr>
            <w:r w:rsidRPr="00E331FB">
              <w:rPr>
                <w:color w:val="0000FF"/>
              </w:rPr>
              <w:t>w</w:t>
            </w:r>
            <w:r w:rsidRPr="00E331FB">
              <w:rPr>
                <w:color w:val="0000FF"/>
              </w:rPr>
              <w:tab/>
              <w:t>=</w:t>
            </w:r>
            <w:r w:rsidRPr="00E331FB">
              <w:rPr>
                <w:color w:val="0000FF"/>
              </w:rPr>
              <w:tab/>
              <w:t>weighting</w:t>
            </w:r>
          </w:p>
          <w:p w:rsidR="00EF4EC1" w:rsidRPr="00E331FB" w:rsidRDefault="00EF4EC1" w:rsidP="00EF4EC1">
            <w:pPr>
              <w:pStyle w:val="Slide4"/>
              <w:tabs>
                <w:tab w:val="right" w:pos="1588"/>
              </w:tabs>
              <w:rPr>
                <w:color w:val="0000FF"/>
              </w:rPr>
            </w:pPr>
            <w:r w:rsidRPr="00E331FB">
              <w:rPr>
                <w:color w:val="0000FF"/>
              </w:rPr>
              <w:t>e</w:t>
            </w:r>
            <w:r w:rsidRPr="00E331FB">
              <w:rPr>
                <w:color w:val="0000FF"/>
              </w:rPr>
              <w:tab/>
              <w:t>=</w:t>
            </w:r>
            <w:r w:rsidRPr="00E331FB">
              <w:rPr>
                <w:color w:val="0000FF"/>
              </w:rPr>
              <w:tab/>
              <w:t>liable earnings of the levy payer in the experience period</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 xml:space="preserve">… </w:t>
            </w:r>
          </w:p>
        </w:tc>
      </w:tr>
    </w:tbl>
    <w:p w:rsidR="00EF4EC1" w:rsidRPr="00E331FB" w:rsidRDefault="00EF4EC1" w:rsidP="00EF4EC1">
      <w:pPr>
        <w:pStyle w:val="Heading5"/>
      </w:pPr>
      <w:r w:rsidRPr="00E331FB">
        <w:t>m</w:t>
      </w:r>
      <w:r w:rsidRPr="00E331FB">
        <w:rPr>
          <w:vertAlign w:val="subscript"/>
        </w:rPr>
        <w:t>n</w:t>
      </w:r>
      <w:r w:rsidRPr="00E331FB">
        <w:tab/>
        <w:t>subscripts</w:t>
      </w:r>
    </w:p>
    <w:p w:rsidR="00EF4EC1" w:rsidRPr="007D7133" w:rsidRDefault="00EF4EC1" w:rsidP="00EF4EC1">
      <w:pPr>
        <w:pStyle w:val="Normaltext1"/>
      </w:pPr>
      <w:r w:rsidRPr="007D7133">
        <w:t xml:space="preserve">A subscript is used to identify the occurrence of a variable on a particular occasion. </w:t>
      </w:r>
      <w:r>
        <w:t xml:space="preserve"> </w:t>
      </w:r>
      <w:r w:rsidRPr="007D7133">
        <w:t xml:space="preserve">In example 24, </w:t>
      </w:r>
      <w:r>
        <w:t>‘</w:t>
      </w:r>
      <w:r w:rsidRPr="007D7133">
        <w:t>p</w:t>
      </w:r>
      <w:r>
        <w:t>’</w:t>
      </w:r>
      <w:r w:rsidRPr="007D7133">
        <w:t xml:space="preserve"> is the variable for the prescribed charge and there are 2 occurrences of this – </w:t>
      </w:r>
      <w:r w:rsidRPr="007D7133">
        <w:lastRenderedPageBreak/>
        <w:t xml:space="preserve">one for seniors, the second for pensioners; and </w:t>
      </w:r>
      <w:r>
        <w:t>‘</w:t>
      </w:r>
      <w:r w:rsidRPr="007D7133">
        <w:t>d</w:t>
      </w:r>
      <w:r>
        <w:t>’</w:t>
      </w:r>
      <w:r w:rsidRPr="007D7133">
        <w:t xml:space="preserve"> is the variable for days and there are 3 occurrences of this – days in the charge period, days as a senior</w:t>
      </w:r>
      <w:r>
        <w:t>, and</w:t>
      </w:r>
      <w:r w:rsidRPr="007D7133">
        <w:t xml:space="preserve"> days as a pensioner.</w:t>
      </w:r>
    </w:p>
    <w:p w:rsidR="00EF4EC1" w:rsidRPr="00C80BD9" w:rsidRDefault="00EF4EC1" w:rsidP="00EF4EC1">
      <w:pPr>
        <w:pStyle w:val="Slidelabel"/>
      </w:pPr>
      <w:bookmarkStart w:id="150" w:name="_Ref475697829"/>
      <w:r w:rsidRPr="00C80BD9">
        <w:t>Use of subscripts</w:t>
      </w:r>
      <w:bookmarkEnd w:id="150"/>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rPr>
          <w:cantSplit/>
        </w:trPr>
        <w:tc>
          <w:tcPr>
            <w:tcW w:w="8505" w:type="dxa"/>
            <w:shd w:val="clear" w:color="auto" w:fill="FFFFFF"/>
          </w:tcPr>
          <w:p w:rsidR="00EF4EC1" w:rsidRPr="00E331FB" w:rsidRDefault="00EF4EC1" w:rsidP="00EF4EC1">
            <w:pPr>
              <w:pStyle w:val="Slide1"/>
              <w:keepNext w:val="0"/>
              <w:rPr>
                <w:color w:val="0000FF"/>
              </w:rPr>
            </w:pPr>
            <w:r w:rsidRPr="00E331FB">
              <w:rPr>
                <w:color w:val="0000FF"/>
              </w:rPr>
              <w:t>40</w:t>
            </w:r>
            <w:r w:rsidRPr="00E331FB">
              <w:rPr>
                <w:color w:val="0000FF"/>
              </w:rPr>
              <w:tab/>
              <w:t>Rebates to registered persons</w:t>
            </w:r>
          </w:p>
          <w:p w:rsidR="00EF4EC1" w:rsidRPr="00E331FB" w:rsidRDefault="00EF4EC1" w:rsidP="00EF4EC1">
            <w:pPr>
              <w:pStyle w:val="Slide2"/>
              <w:rPr>
                <w:color w:val="0000FF"/>
              </w:rPr>
            </w:pPr>
            <w:r w:rsidRPr="00E331FB">
              <w:rPr>
                <w:color w:val="0000FF"/>
              </w:rPr>
              <w:tab/>
              <w:t>If a person is an eligible senior for a part of the charge period and an eligible pensioner for another part of the charge period, the rebate to be allowed shall be determined using the following formula:</w:t>
            </w:r>
          </w:p>
          <w:p w:rsidR="00EF4EC1" w:rsidRPr="00E331FB" w:rsidRDefault="00EF4EC1" w:rsidP="00EF4EC1">
            <w:pPr>
              <w:pStyle w:val="SlideEquation"/>
              <w:rPr>
                <w:color w:val="0000FF"/>
                <w:oMath/>
              </w:rPr>
            </w:pPr>
            <m:oMathPara>
              <m:oMathParaPr>
                <m:jc m:val="left"/>
              </m:oMathParaPr>
              <m:oMath>
                <m:r>
                  <m:rPr>
                    <m:nor/>
                  </m:rPr>
                  <w:rPr>
                    <w:color w:val="0000FF"/>
                  </w:rPr>
                  <m:t>r</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color w:val="0000FF"/>
                      </w:rPr>
                    </m:ctrlPr>
                  </m:dPr>
                  <m:e>
                    <m:sSub>
                      <m:sSubPr>
                        <m:ctrlPr>
                          <w:rPr>
                            <w:rFonts w:ascii="Cambria Math" w:hAnsi="Cambria Math"/>
                            <w:color w:val="0000FF"/>
                          </w:rPr>
                        </m:ctrlPr>
                      </m:sSubPr>
                      <m:e>
                        <m:r>
                          <m:rPr>
                            <m:nor/>
                          </m:rPr>
                          <w:rPr>
                            <w:color w:val="0000FF"/>
                          </w:rPr>
                          <m:t>p</m:t>
                        </m:r>
                      </m:e>
                      <m:sub>
                        <m:r>
                          <m:rPr>
                            <m:nor/>
                          </m:rPr>
                          <w:rPr>
                            <w:color w:val="0000FF"/>
                          </w:rPr>
                          <m:t>s</m:t>
                        </m:r>
                      </m:sub>
                    </m:sSub>
                    <m:r>
                      <m:rPr>
                        <m:nor/>
                      </m:rPr>
                      <w:rPr>
                        <w:rFonts w:ascii="Cambria Math"/>
                        <w:color w:val="0000FF"/>
                      </w:rPr>
                      <m:t xml:space="preserve"> </m:t>
                    </m:r>
                    <m:r>
                      <m:rPr>
                        <m:nor/>
                      </m:rPr>
                      <w:rPr>
                        <w:rFonts w:ascii="Cambria Math" w:hAnsi="Cambria Math"/>
                        <w:color w:val="0000FF"/>
                      </w:rPr>
                      <m:t xml:space="preserve">× </m:t>
                    </m:r>
                    <m:f>
                      <m:fPr>
                        <m:ctrlPr>
                          <w:rPr>
                            <w:rFonts w:ascii="Cambria Math" w:hAnsi="Cambria Math"/>
                            <w:color w:val="FF0000"/>
                          </w:rPr>
                        </m:ctrlPr>
                      </m:fPr>
                      <m:num>
                        <m:sSub>
                          <m:sSubPr>
                            <m:ctrlPr>
                              <w:rPr>
                                <w:rFonts w:ascii="Cambria Math" w:hAnsi="Cambria Math"/>
                                <w:color w:val="FF0000"/>
                              </w:rPr>
                            </m:ctrlPr>
                          </m:sSubPr>
                          <m:e>
                            <m:r>
                              <m:rPr>
                                <m:nor/>
                              </m:rPr>
                              <w:rPr>
                                <w:color w:val="FF0000"/>
                              </w:rPr>
                              <m:t>d</m:t>
                            </m:r>
                          </m:e>
                          <m:sub>
                            <m:r>
                              <m:rPr>
                                <m:nor/>
                              </m:rPr>
                              <w:rPr>
                                <w:color w:val="FF0000"/>
                              </w:rPr>
                              <m:t>s</m:t>
                            </m:r>
                          </m:sub>
                        </m:sSub>
                      </m:num>
                      <m:den>
                        <m:sSub>
                          <m:sSubPr>
                            <m:ctrlPr>
                              <w:rPr>
                                <w:rFonts w:ascii="Cambria Math" w:hAnsi="Cambria Math"/>
                                <w:color w:val="FF0000"/>
                              </w:rPr>
                            </m:ctrlPr>
                          </m:sSubPr>
                          <m:e>
                            <m:r>
                              <m:rPr>
                                <m:nor/>
                              </m:rPr>
                              <w:rPr>
                                <w:color w:val="FF0000"/>
                              </w:rPr>
                              <m:t>d</m:t>
                            </m:r>
                          </m:e>
                          <m:sub>
                            <m:r>
                              <m:rPr>
                                <m:nor/>
                              </m:rPr>
                              <w:rPr>
                                <w:color w:val="FF0000"/>
                              </w:rPr>
                              <m:t>c</m:t>
                            </m:r>
                          </m:sub>
                        </m:sSub>
                      </m:den>
                    </m:f>
                  </m:e>
                </m:d>
                <m:r>
                  <m:rPr>
                    <m:nor/>
                  </m:rPr>
                  <w:rPr>
                    <w:rFonts w:ascii="Cambria Math" w:hAnsi="Cambria Math"/>
                    <w:color w:val="0000FF"/>
                  </w:rPr>
                  <m:t xml:space="preserve"> + </m:t>
                </m:r>
                <m:d>
                  <m:dPr>
                    <m:ctrlPr>
                      <w:rPr>
                        <w:rFonts w:ascii="Cambria Math" w:hAnsi="Cambria Math"/>
                        <w:color w:val="0000FF"/>
                      </w:rPr>
                    </m:ctrlPr>
                  </m:dPr>
                  <m:e>
                    <m:sSub>
                      <m:sSubPr>
                        <m:ctrlPr>
                          <w:rPr>
                            <w:rFonts w:ascii="Cambria Math" w:hAnsi="Cambria Math"/>
                            <w:color w:val="0000FF"/>
                          </w:rPr>
                        </m:ctrlPr>
                      </m:sSubPr>
                      <m:e>
                        <m:r>
                          <m:rPr>
                            <m:nor/>
                          </m:rPr>
                          <w:rPr>
                            <w:color w:val="0000FF"/>
                          </w:rPr>
                          <m:t>p</m:t>
                        </m:r>
                      </m:e>
                      <m:sub>
                        <m:r>
                          <m:rPr>
                            <m:nor/>
                          </m:rPr>
                          <w:rPr>
                            <w:color w:val="0000FF"/>
                          </w:rPr>
                          <m:t>p</m:t>
                        </m:r>
                      </m:sub>
                    </m:sSub>
                    <m:r>
                      <m:rPr>
                        <m:nor/>
                      </m:rPr>
                      <w:rPr>
                        <w:rFonts w:ascii="Cambria Math"/>
                        <w:color w:val="0000FF"/>
                      </w:rPr>
                      <m:t xml:space="preserve"> </m:t>
                    </m:r>
                    <m:r>
                      <m:rPr>
                        <m:nor/>
                      </m:rPr>
                      <w:rPr>
                        <w:rFonts w:ascii="Cambria Math" w:hAnsi="Cambria Math"/>
                        <w:color w:val="0000FF"/>
                      </w:rPr>
                      <m:t>×</m:t>
                    </m:r>
                    <m:r>
                      <m:rPr>
                        <m:nor/>
                      </m:rPr>
                      <w:rPr>
                        <w:color w:val="0000FF"/>
                      </w:rPr>
                      <m:t xml:space="preserve"> </m:t>
                    </m:r>
                    <m:f>
                      <m:fPr>
                        <m:ctrlPr>
                          <w:rPr>
                            <w:rFonts w:ascii="Cambria Math" w:hAnsi="Cambria Math"/>
                            <w:color w:val="FF0000"/>
                          </w:rPr>
                        </m:ctrlPr>
                      </m:fPr>
                      <m:num>
                        <m:sSub>
                          <m:sSubPr>
                            <m:ctrlPr>
                              <w:rPr>
                                <w:rFonts w:ascii="Cambria Math" w:hAnsi="Cambria Math"/>
                                <w:color w:val="FF0000"/>
                              </w:rPr>
                            </m:ctrlPr>
                          </m:sSubPr>
                          <m:e>
                            <m:r>
                              <m:rPr>
                                <m:nor/>
                              </m:rPr>
                              <w:rPr>
                                <w:color w:val="FF0000"/>
                              </w:rPr>
                              <m:t>d</m:t>
                            </m:r>
                          </m:e>
                          <m:sub>
                            <m:r>
                              <m:rPr>
                                <m:nor/>
                              </m:rPr>
                              <w:rPr>
                                <w:color w:val="FF0000"/>
                              </w:rPr>
                              <m:t>p</m:t>
                            </m:r>
                          </m:sub>
                        </m:sSub>
                      </m:num>
                      <m:den>
                        <m:sSub>
                          <m:sSubPr>
                            <m:ctrlPr>
                              <w:rPr>
                                <w:rFonts w:ascii="Cambria Math" w:hAnsi="Cambria Math"/>
                                <w:color w:val="FF0000"/>
                              </w:rPr>
                            </m:ctrlPr>
                          </m:sSubPr>
                          <m:e>
                            <m:r>
                              <m:rPr>
                                <m:nor/>
                              </m:rPr>
                              <w:rPr>
                                <w:color w:val="FF0000"/>
                              </w:rPr>
                              <m:t>d</m:t>
                            </m:r>
                          </m:e>
                          <m:sub>
                            <m:r>
                              <m:rPr>
                                <m:nor/>
                              </m:rPr>
                              <w:rPr>
                                <w:color w:val="FF0000"/>
                              </w:rPr>
                              <m:t>c</m:t>
                            </m:r>
                          </m:sub>
                        </m:sSub>
                      </m:den>
                    </m:f>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rebate to be allowed</w:t>
            </w:r>
          </w:p>
          <w:p w:rsidR="00EF4EC1" w:rsidRPr="00E331FB" w:rsidRDefault="00EF4EC1" w:rsidP="00EF4EC1">
            <w:pPr>
              <w:pStyle w:val="Slide3"/>
              <w:rPr>
                <w:color w:val="0000FF"/>
              </w:rPr>
            </w:pPr>
            <w:r w:rsidRPr="00E331FB">
              <w:rPr>
                <w:bCs/>
                <w:color w:val="0000FF"/>
              </w:rPr>
              <w:t>p</w:t>
            </w:r>
            <w:r w:rsidRPr="00E331FB">
              <w:rPr>
                <w:bCs/>
                <w:color w:val="0000FF"/>
                <w:vertAlign w:val="subscript"/>
              </w:rPr>
              <w:t>s</w:t>
            </w:r>
            <w:r w:rsidRPr="00E331FB">
              <w:rPr>
                <w:color w:val="0000FF"/>
              </w:rPr>
              <w:tab/>
              <w:t>=</w:t>
            </w:r>
            <w:r w:rsidRPr="00E331FB">
              <w:rPr>
                <w:color w:val="0000FF"/>
              </w:rPr>
              <w:tab/>
              <w:t xml:space="preserve">prescribed charge for </w:t>
            </w:r>
            <w:r>
              <w:rPr>
                <w:bCs/>
                <w:color w:val="0000FF"/>
              </w:rPr>
              <w:t>eligible seniors</w:t>
            </w:r>
          </w:p>
          <w:p w:rsidR="00EF4EC1" w:rsidRPr="00E331FB" w:rsidRDefault="00EF4EC1" w:rsidP="00EF4EC1">
            <w:pPr>
              <w:pStyle w:val="Slide3"/>
              <w:rPr>
                <w:color w:val="0000FF"/>
              </w:rPr>
            </w:pPr>
            <w:r w:rsidRPr="00E331FB">
              <w:rPr>
                <w:bCs/>
                <w:color w:val="0000FF"/>
              </w:rPr>
              <w:t>p</w:t>
            </w:r>
            <w:r w:rsidRPr="00E331FB">
              <w:rPr>
                <w:bCs/>
                <w:color w:val="0000FF"/>
                <w:vertAlign w:val="subscript"/>
              </w:rPr>
              <w:t>p</w:t>
            </w:r>
            <w:r w:rsidRPr="00E331FB">
              <w:rPr>
                <w:color w:val="0000FF"/>
              </w:rPr>
              <w:tab/>
              <w:t>=</w:t>
            </w:r>
            <w:r w:rsidRPr="00E331FB">
              <w:rPr>
                <w:color w:val="0000FF"/>
              </w:rPr>
              <w:tab/>
              <w:t xml:space="preserve">prescribed charge for </w:t>
            </w:r>
            <w:r w:rsidRPr="00E331FB">
              <w:rPr>
                <w:bCs/>
                <w:color w:val="0000FF"/>
              </w:rPr>
              <w:t>eligible pensioners</w:t>
            </w:r>
          </w:p>
          <w:p w:rsidR="00EF4EC1" w:rsidRPr="00E331FB" w:rsidRDefault="00EF4EC1" w:rsidP="00EF4EC1">
            <w:pPr>
              <w:pStyle w:val="Slide3"/>
              <w:rPr>
                <w:color w:val="0000FF"/>
              </w:rPr>
            </w:pPr>
            <w:r w:rsidRPr="00C91EFA">
              <w:rPr>
                <w:color w:val="FF0000"/>
              </w:rPr>
              <w:t>d</w:t>
            </w:r>
            <w:r w:rsidRPr="00C91EFA">
              <w:rPr>
                <w:color w:val="FF0000"/>
                <w:vertAlign w:val="subscript"/>
              </w:rPr>
              <w:t>c</w:t>
            </w:r>
            <w:r w:rsidRPr="00E331FB">
              <w:rPr>
                <w:color w:val="0000FF"/>
              </w:rPr>
              <w:tab/>
              <w:t>=</w:t>
            </w:r>
            <w:r w:rsidRPr="00E331FB">
              <w:rPr>
                <w:color w:val="0000FF"/>
              </w:rPr>
              <w:tab/>
              <w:t xml:space="preserve">number of </w:t>
            </w:r>
            <w:r w:rsidRPr="00C91EFA">
              <w:rPr>
                <w:color w:val="FF0000"/>
              </w:rPr>
              <w:t>days in the charge period</w:t>
            </w:r>
          </w:p>
          <w:p w:rsidR="00EF4EC1" w:rsidRPr="00172784" w:rsidRDefault="00EF4EC1" w:rsidP="00EF4EC1">
            <w:pPr>
              <w:pStyle w:val="Slide3"/>
              <w:rPr>
                <w:color w:val="0000FF"/>
              </w:rPr>
            </w:pPr>
            <w:r w:rsidRPr="00C91EFA">
              <w:rPr>
                <w:bCs/>
                <w:color w:val="FF0000"/>
              </w:rPr>
              <w:t>d</w:t>
            </w:r>
            <w:r w:rsidRPr="00C91EFA">
              <w:rPr>
                <w:bCs/>
                <w:color w:val="FF0000"/>
                <w:vertAlign w:val="subscript"/>
              </w:rPr>
              <w:t>s</w:t>
            </w:r>
            <w:r w:rsidRPr="00172784">
              <w:rPr>
                <w:color w:val="0000FF"/>
              </w:rPr>
              <w:tab/>
              <w:t>=</w:t>
            </w:r>
            <w:r w:rsidRPr="00172784">
              <w:rPr>
                <w:color w:val="0000FF"/>
              </w:rPr>
              <w:tab/>
              <w:t xml:space="preserve">number of </w:t>
            </w:r>
            <w:r w:rsidRPr="00C91EFA">
              <w:rPr>
                <w:bCs/>
                <w:color w:val="FF0000"/>
              </w:rPr>
              <w:t>days</w:t>
            </w:r>
            <w:r w:rsidRPr="00172784">
              <w:rPr>
                <w:bCs/>
                <w:color w:val="0000FF"/>
              </w:rPr>
              <w:t xml:space="preserve"> </w:t>
            </w:r>
            <w:r w:rsidRPr="00172784">
              <w:rPr>
                <w:color w:val="0000FF"/>
              </w:rPr>
              <w:t xml:space="preserve">during charge period that person </w:t>
            </w:r>
            <w:r w:rsidRPr="00C91EFA">
              <w:rPr>
                <w:color w:val="0000FF"/>
              </w:rPr>
              <w:t xml:space="preserve">is </w:t>
            </w:r>
            <w:r w:rsidRPr="00C91EFA">
              <w:rPr>
                <w:bCs/>
                <w:color w:val="0000FF"/>
              </w:rPr>
              <w:t xml:space="preserve">an </w:t>
            </w:r>
            <w:r w:rsidRPr="00C91EFA">
              <w:rPr>
                <w:bCs/>
                <w:color w:val="FF0000"/>
              </w:rPr>
              <w:t>eligible senior</w:t>
            </w:r>
          </w:p>
          <w:p w:rsidR="00EF4EC1" w:rsidRPr="00E331FB" w:rsidRDefault="00EF4EC1" w:rsidP="00EF4EC1">
            <w:pPr>
              <w:pStyle w:val="Slide3"/>
              <w:rPr>
                <w:color w:val="0000FF"/>
              </w:rPr>
            </w:pPr>
            <w:r w:rsidRPr="00C91EFA">
              <w:rPr>
                <w:bCs/>
                <w:color w:val="FF0000"/>
              </w:rPr>
              <w:t>d</w:t>
            </w:r>
            <w:r w:rsidRPr="00C91EFA">
              <w:rPr>
                <w:bCs/>
                <w:color w:val="FF0000"/>
                <w:vertAlign w:val="subscript"/>
              </w:rPr>
              <w:t>p</w:t>
            </w:r>
            <w:r w:rsidRPr="00172784">
              <w:rPr>
                <w:color w:val="0000FF"/>
              </w:rPr>
              <w:tab/>
              <w:t>=</w:t>
            </w:r>
            <w:r w:rsidRPr="00172784">
              <w:rPr>
                <w:color w:val="0000FF"/>
              </w:rPr>
              <w:tab/>
              <w:t xml:space="preserve">number of </w:t>
            </w:r>
            <w:r w:rsidRPr="00C91EFA">
              <w:rPr>
                <w:bCs/>
                <w:color w:val="FF0000"/>
              </w:rPr>
              <w:t>days</w:t>
            </w:r>
            <w:r w:rsidRPr="00172784">
              <w:rPr>
                <w:color w:val="0000FF"/>
              </w:rPr>
              <w:t xml:space="preserve"> during charge period that person is an </w:t>
            </w:r>
            <w:r w:rsidRPr="00C91EFA">
              <w:rPr>
                <w:bCs/>
                <w:color w:val="FF0000"/>
              </w:rPr>
              <w:t>eligible pensioner</w:t>
            </w:r>
            <w:r w:rsidRPr="00172784">
              <w:rPr>
                <w:color w:val="0000FF"/>
              </w:rPr>
              <w:t>.</w:t>
            </w:r>
          </w:p>
        </w:tc>
      </w:tr>
    </w:tbl>
    <w:p w:rsidR="00EF4EC1" w:rsidRPr="00E331FB" w:rsidRDefault="00EF4EC1" w:rsidP="00EF4EC1">
      <w:pPr>
        <w:pStyle w:val="Heading5"/>
      </w:pPr>
      <w:r w:rsidRPr="00E331FB">
        <w:t>∑</w:t>
      </w:r>
      <w:r w:rsidRPr="00E331FB">
        <w:tab/>
        <w:t>summation</w:t>
      </w:r>
    </w:p>
    <w:p w:rsidR="00EF4EC1" w:rsidRPr="007D7133" w:rsidRDefault="00EF4EC1" w:rsidP="00EF4EC1">
      <w:pPr>
        <w:pStyle w:val="Normaltext1"/>
      </w:pPr>
      <w:r w:rsidRPr="007D7133">
        <w:t>The summation sign (which is the Greek letter sigma) indicates the addition of an unknown number of values.</w:t>
      </w:r>
    </w:p>
    <w:p w:rsidR="00EF4EC1" w:rsidRPr="007D7133" w:rsidRDefault="00EF4EC1" w:rsidP="00EF4EC1">
      <w:pPr>
        <w:pStyle w:val="Normaltext1"/>
      </w:pPr>
      <w:r w:rsidRPr="007D7133">
        <w:t>To demonstrate this, consider the areas of rectangles. If you have only one rectangle, the area is length (</w:t>
      </w:r>
      <w:r>
        <w:t>‘</w:t>
      </w:r>
      <w:r>
        <w:rPr>
          <w:i/>
        </w:rPr>
        <w:t>l’</w:t>
      </w:r>
      <w:r w:rsidRPr="007D7133">
        <w:t>) times width (</w:t>
      </w:r>
      <w:r>
        <w:t>‘w’</w:t>
      </w:r>
      <w:r w:rsidRPr="007D7133">
        <w:t xml:space="preserve">). If you need to add together the area of a known number of rectangles, you can set them all out in a formula. If you need to provide for an unknown number of rectangles, you will need the summation symbol ∑. </w:t>
      </w:r>
    </w:p>
    <w:tbl>
      <w:tblPr>
        <w:tblStyle w:val="TableGrid"/>
        <w:tblW w:w="0" w:type="auto"/>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57" w:type="dxa"/>
        </w:tblCellMar>
        <w:tblLook w:val="04A0" w:firstRow="1" w:lastRow="0" w:firstColumn="1" w:lastColumn="0" w:noHBand="0" w:noVBand="1"/>
      </w:tblPr>
      <w:tblGrid>
        <w:gridCol w:w="2693"/>
        <w:gridCol w:w="567"/>
        <w:gridCol w:w="709"/>
        <w:gridCol w:w="567"/>
        <w:gridCol w:w="4144"/>
      </w:tblGrid>
      <w:tr w:rsidR="00EF4EC1" w:rsidRPr="00C80BD9" w:rsidTr="00EF4EC1">
        <w:tc>
          <w:tcPr>
            <w:tcW w:w="2693" w:type="dxa"/>
            <w:vAlign w:val="center"/>
          </w:tcPr>
          <w:p w:rsidR="00EF4EC1" w:rsidRPr="001C74E0" w:rsidRDefault="00EF4EC1" w:rsidP="00EF4EC1">
            <w:pPr>
              <w:pStyle w:val="Slide2"/>
              <w:rPr>
                <w:i/>
                <w:color w:val="0000FF"/>
                <w:szCs w:val="22"/>
              </w:rPr>
            </w:pPr>
            <w:r w:rsidRPr="001C74E0">
              <w:rPr>
                <w:i/>
                <w:color w:val="0000FF"/>
                <w:szCs w:val="22"/>
              </w:rPr>
              <w:t>If there is 1 rectangle</w:t>
            </w:r>
          </w:p>
          <w:p w:rsidR="00EF4EC1" w:rsidRPr="001C74E0" w:rsidRDefault="00EF4EC1" w:rsidP="00EF4EC1">
            <w:pPr>
              <w:pStyle w:val="SlideEquation"/>
              <w:spacing w:before="120"/>
              <w:ind w:left="284"/>
              <w:rPr>
                <w:color w:val="0000FF"/>
                <w:szCs w:val="22"/>
              </w:rPr>
            </w:pPr>
            <m:oMathPara>
              <m:oMathParaPr>
                <m:jc m:val="left"/>
              </m:oMathParaPr>
              <m:oMath>
                <m:r>
                  <m:rPr>
                    <m:nor/>
                  </m:rPr>
                  <w:rPr>
                    <w:color w:val="0000FF"/>
                    <w:szCs w:val="22"/>
                  </w:rPr>
                  <m:t xml:space="preserve">a =  l </m:t>
                </m:r>
                <m:r>
                  <m:rPr>
                    <m:nor/>
                  </m:rPr>
                  <w:rPr>
                    <w:rFonts w:ascii="Cambria Math" w:hAnsi="Cambria Math"/>
                    <w:color w:val="0000FF"/>
                    <w:szCs w:val="22"/>
                  </w:rPr>
                  <m:t>×</m:t>
                </m:r>
                <m:r>
                  <m:rPr>
                    <m:nor/>
                  </m:rPr>
                  <w:rPr>
                    <w:color w:val="0000FF"/>
                    <w:szCs w:val="22"/>
                  </w:rPr>
                  <m:t xml:space="preserve"> w </m:t>
                </m:r>
              </m:oMath>
            </m:oMathPara>
          </w:p>
        </w:tc>
        <w:tc>
          <w:tcPr>
            <w:tcW w:w="5987" w:type="dxa"/>
            <w:gridSpan w:val="4"/>
          </w:tcPr>
          <w:p w:rsidR="00EF4EC1" w:rsidRPr="00C80BD9" w:rsidRDefault="00EF4EC1" w:rsidP="00EF4EC1">
            <w:pPr>
              <w:spacing w:line="240" w:lineRule="atLeast"/>
              <w:rPr>
                <w:rFonts w:ascii="Arial" w:hAnsi="Arial" w:cs="Arial"/>
              </w:rPr>
            </w:pPr>
            <w:r>
              <w:rPr>
                <w:rFonts w:ascii="Times New Roman" w:eastAsia="Times New Roman" w:hAnsi="Times New Roman"/>
              </w:rPr>
              <w:object w:dxaOrig="3270"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43.2pt" o:ole="">
                  <v:imagedata r:id="rId18" o:title=""/>
                </v:shape>
                <o:OLEObject Type="Embed" ProgID="PBrush" ShapeID="_x0000_i1025" DrawAspect="Content" ObjectID="_1578678659" r:id="rId19"/>
              </w:object>
            </w:r>
          </w:p>
        </w:tc>
      </w:tr>
      <w:tr w:rsidR="00EF4EC1" w:rsidRPr="00C80BD9" w:rsidTr="00EF4EC1">
        <w:tc>
          <w:tcPr>
            <w:tcW w:w="3260" w:type="dxa"/>
            <w:gridSpan w:val="2"/>
            <w:vAlign w:val="center"/>
          </w:tcPr>
          <w:p w:rsidR="00EF4EC1" w:rsidRPr="001C74E0" w:rsidRDefault="00EF4EC1" w:rsidP="00EF4EC1">
            <w:pPr>
              <w:pStyle w:val="Slide2"/>
              <w:rPr>
                <w:i/>
                <w:color w:val="0000FF"/>
                <w:szCs w:val="22"/>
              </w:rPr>
            </w:pPr>
            <w:r w:rsidRPr="001C74E0">
              <w:rPr>
                <w:i/>
                <w:color w:val="0000FF"/>
                <w:szCs w:val="22"/>
              </w:rPr>
              <w:t>If there are 2 rectangles</w:t>
            </w:r>
          </w:p>
          <w:p w:rsidR="00EF4EC1" w:rsidRPr="001C74E0" w:rsidRDefault="00EF4EC1" w:rsidP="00EF4EC1">
            <w:pPr>
              <w:pStyle w:val="SlideEquation"/>
              <w:spacing w:before="120"/>
              <w:ind w:left="284"/>
              <w:rPr>
                <w:color w:val="0000FF"/>
                <w:szCs w:val="22"/>
              </w:rPr>
            </w:pPr>
            <m:oMathPara>
              <m:oMathParaPr>
                <m:jc m:val="left"/>
              </m:oMathParaPr>
              <m:oMath>
                <m:r>
                  <m:rPr>
                    <m:nor/>
                  </m:rPr>
                  <w:rPr>
                    <w:color w:val="0000FF"/>
                    <w:szCs w:val="22"/>
                  </w:rPr>
                  <m:t>a</m:t>
                </m:r>
                <m:r>
                  <m:rPr>
                    <m:nor/>
                  </m:rPr>
                  <w:rPr>
                    <w:rFonts w:ascii="Cambria Math"/>
                    <w:color w:val="0000FF"/>
                    <w:szCs w:val="22"/>
                  </w:rPr>
                  <m:t xml:space="preserve"> =  </m:t>
                </m:r>
                <m:d>
                  <m:dPr>
                    <m:ctrlPr>
                      <w:rPr>
                        <w:rFonts w:ascii="Cambria Math" w:hAnsi="Cambria Math"/>
                        <w:snapToGrid/>
                        <w:color w:val="0000FF"/>
                        <w:szCs w:val="22"/>
                      </w:rPr>
                    </m:ctrlPr>
                  </m:dPr>
                  <m:e>
                    <m:sSub>
                      <m:sSubPr>
                        <m:ctrlPr>
                          <w:rPr>
                            <w:rFonts w:ascii="Cambria Math" w:hAnsi="Cambria Math"/>
                            <w:snapToGrid/>
                            <w:color w:val="0000FF"/>
                            <w:szCs w:val="22"/>
                          </w:rPr>
                        </m:ctrlPr>
                      </m:sSubPr>
                      <m:e>
                        <m:r>
                          <m:rPr>
                            <m:nor/>
                          </m:rPr>
                          <w:rPr>
                            <w:color w:val="0000FF"/>
                            <w:szCs w:val="22"/>
                          </w:rPr>
                          <m:t>l</m:t>
                        </m:r>
                      </m:e>
                      <m:sub>
                        <m:r>
                          <m:rPr>
                            <m:nor/>
                          </m:rPr>
                          <w:rPr>
                            <w:color w:val="0000FF"/>
                            <w:szCs w:val="22"/>
                          </w:rPr>
                          <m:t>1</m:t>
                        </m:r>
                      </m:sub>
                    </m:sSub>
                    <m:r>
                      <m:rPr>
                        <m:nor/>
                      </m:rPr>
                      <w:rPr>
                        <w:color w:val="0000FF"/>
                        <w:szCs w:val="22"/>
                      </w:rPr>
                      <m:t xml:space="preserve"> </m:t>
                    </m:r>
                    <m:r>
                      <m:rPr>
                        <m:nor/>
                      </m:rPr>
                      <w:rPr>
                        <w:rFonts w:ascii="Cambria Math" w:hAnsi="Cambria Math"/>
                        <w:color w:val="0000FF"/>
                        <w:szCs w:val="22"/>
                      </w:rPr>
                      <m:t>×</m:t>
                    </m:r>
                    <m:r>
                      <m:rPr>
                        <m:nor/>
                      </m:rPr>
                      <w:rPr>
                        <w:color w:val="0000FF"/>
                        <w:szCs w:val="22"/>
                      </w:rPr>
                      <m:t xml:space="preserve"> </m:t>
                    </m:r>
                    <m:sSub>
                      <m:sSubPr>
                        <m:ctrlPr>
                          <w:rPr>
                            <w:rFonts w:ascii="Cambria Math" w:hAnsi="Cambria Math"/>
                            <w:snapToGrid/>
                            <w:color w:val="0000FF"/>
                            <w:szCs w:val="22"/>
                          </w:rPr>
                        </m:ctrlPr>
                      </m:sSubPr>
                      <m:e>
                        <m:r>
                          <m:rPr>
                            <m:nor/>
                          </m:rPr>
                          <w:rPr>
                            <w:color w:val="0000FF"/>
                            <w:szCs w:val="22"/>
                          </w:rPr>
                          <m:t>w</m:t>
                        </m:r>
                      </m:e>
                      <m:sub>
                        <m:r>
                          <m:rPr>
                            <m:nor/>
                          </m:rPr>
                          <w:rPr>
                            <w:color w:val="0000FF"/>
                            <w:szCs w:val="22"/>
                          </w:rPr>
                          <m:t>1</m:t>
                        </m:r>
                      </m:sub>
                    </m:sSub>
                  </m:e>
                </m:d>
                <m:r>
                  <m:rPr>
                    <m:nor/>
                  </m:rPr>
                  <w:rPr>
                    <w:rFonts w:ascii="Cambria Math"/>
                    <w:color w:val="0000FF"/>
                    <w:szCs w:val="22"/>
                  </w:rPr>
                  <m:t xml:space="preserve"> </m:t>
                </m:r>
                <m:r>
                  <m:rPr>
                    <m:nor/>
                  </m:rPr>
                  <w:rPr>
                    <w:color w:val="0000FF"/>
                    <w:szCs w:val="22"/>
                  </w:rPr>
                  <m:t>+</m:t>
                </m:r>
                <m:r>
                  <m:rPr>
                    <m:nor/>
                  </m:rPr>
                  <w:rPr>
                    <w:rFonts w:ascii="Cambria Math"/>
                    <w:color w:val="0000FF"/>
                    <w:szCs w:val="22"/>
                  </w:rPr>
                  <m:t xml:space="preserve"> </m:t>
                </m:r>
                <m:d>
                  <m:dPr>
                    <m:ctrlPr>
                      <w:rPr>
                        <w:rFonts w:ascii="Cambria Math" w:hAnsi="Cambria Math"/>
                        <w:snapToGrid/>
                        <w:color w:val="0000FF"/>
                        <w:szCs w:val="22"/>
                      </w:rPr>
                    </m:ctrlPr>
                  </m:dPr>
                  <m:e>
                    <m:sSub>
                      <m:sSubPr>
                        <m:ctrlPr>
                          <w:rPr>
                            <w:rFonts w:ascii="Cambria Math" w:hAnsi="Cambria Math"/>
                            <w:snapToGrid/>
                            <w:color w:val="0000FF"/>
                            <w:szCs w:val="22"/>
                          </w:rPr>
                        </m:ctrlPr>
                      </m:sSubPr>
                      <m:e>
                        <m:r>
                          <m:rPr>
                            <m:nor/>
                          </m:rPr>
                          <w:rPr>
                            <w:color w:val="0000FF"/>
                            <w:szCs w:val="22"/>
                          </w:rPr>
                          <m:t>l</m:t>
                        </m:r>
                      </m:e>
                      <m:sub>
                        <m:r>
                          <m:rPr>
                            <m:nor/>
                          </m:rPr>
                          <w:rPr>
                            <w:color w:val="0000FF"/>
                            <w:szCs w:val="22"/>
                          </w:rPr>
                          <m:t>2</m:t>
                        </m:r>
                      </m:sub>
                    </m:sSub>
                    <m:r>
                      <m:rPr>
                        <m:nor/>
                      </m:rPr>
                      <w:rPr>
                        <w:color w:val="0000FF"/>
                        <w:szCs w:val="22"/>
                      </w:rPr>
                      <m:t xml:space="preserve"> </m:t>
                    </m:r>
                    <m:r>
                      <m:rPr>
                        <m:nor/>
                      </m:rPr>
                      <w:rPr>
                        <w:rFonts w:ascii="Cambria Math" w:hAnsi="Cambria Math"/>
                        <w:color w:val="0000FF"/>
                        <w:szCs w:val="22"/>
                      </w:rPr>
                      <m:t>×</m:t>
                    </m:r>
                    <m:r>
                      <m:rPr>
                        <m:nor/>
                      </m:rPr>
                      <w:rPr>
                        <w:color w:val="0000FF"/>
                        <w:szCs w:val="22"/>
                      </w:rPr>
                      <m:t xml:space="preserve"> </m:t>
                    </m:r>
                    <m:sSub>
                      <m:sSubPr>
                        <m:ctrlPr>
                          <w:rPr>
                            <w:rFonts w:ascii="Cambria Math" w:hAnsi="Cambria Math"/>
                            <w:snapToGrid/>
                            <w:color w:val="0000FF"/>
                            <w:szCs w:val="22"/>
                          </w:rPr>
                        </m:ctrlPr>
                      </m:sSubPr>
                      <m:e>
                        <m:r>
                          <m:rPr>
                            <m:nor/>
                          </m:rPr>
                          <w:rPr>
                            <w:color w:val="0000FF"/>
                            <w:szCs w:val="22"/>
                          </w:rPr>
                          <m:t>w</m:t>
                        </m:r>
                      </m:e>
                      <m:sub>
                        <m:r>
                          <m:rPr>
                            <m:nor/>
                          </m:rPr>
                          <w:rPr>
                            <w:color w:val="0000FF"/>
                            <w:szCs w:val="22"/>
                          </w:rPr>
                          <m:t>2</m:t>
                        </m:r>
                      </m:sub>
                    </m:sSub>
                  </m:e>
                </m:d>
              </m:oMath>
            </m:oMathPara>
          </w:p>
        </w:tc>
        <w:tc>
          <w:tcPr>
            <w:tcW w:w="5420" w:type="dxa"/>
            <w:gridSpan w:val="3"/>
          </w:tcPr>
          <w:p w:rsidR="00EF4EC1" w:rsidRPr="00C80BD9" w:rsidRDefault="00EF4EC1" w:rsidP="00EF4EC1">
            <w:pPr>
              <w:spacing w:line="240" w:lineRule="atLeast"/>
              <w:rPr>
                <w:rFonts w:ascii="Arial" w:hAnsi="Arial" w:cs="Arial"/>
              </w:rPr>
            </w:pPr>
            <w:r>
              <w:rPr>
                <w:rFonts w:ascii="Times New Roman" w:eastAsia="Times New Roman" w:hAnsi="Times New Roman"/>
              </w:rPr>
              <w:object w:dxaOrig="5205" w:dyaOrig="1920">
                <v:shape id="_x0000_i1026" type="#_x0000_t75" style="width:115.75pt;height:43.75pt" o:ole="">
                  <v:imagedata r:id="rId20" o:title=""/>
                </v:shape>
                <o:OLEObject Type="Embed" ProgID="PBrush" ShapeID="_x0000_i1026" DrawAspect="Content" ObjectID="_1578678660" r:id="rId21"/>
              </w:object>
            </w:r>
          </w:p>
        </w:tc>
      </w:tr>
      <w:tr w:rsidR="00EF4EC1" w:rsidRPr="00C80BD9" w:rsidTr="00EF4EC1">
        <w:tc>
          <w:tcPr>
            <w:tcW w:w="3969" w:type="dxa"/>
            <w:gridSpan w:val="3"/>
            <w:vAlign w:val="center"/>
          </w:tcPr>
          <w:p w:rsidR="00EF4EC1" w:rsidRPr="001C74E0" w:rsidRDefault="00EF4EC1" w:rsidP="00EF4EC1">
            <w:pPr>
              <w:pStyle w:val="Slide2"/>
              <w:rPr>
                <w:i/>
                <w:color w:val="0000FF"/>
                <w:szCs w:val="22"/>
              </w:rPr>
            </w:pPr>
            <w:r w:rsidRPr="001C74E0">
              <w:rPr>
                <w:i/>
                <w:color w:val="0000FF"/>
                <w:szCs w:val="22"/>
              </w:rPr>
              <w:t>If there are 3 rectangles</w:t>
            </w:r>
          </w:p>
          <w:p w:rsidR="00EF4EC1" w:rsidRPr="001C74E0" w:rsidRDefault="00EF4EC1" w:rsidP="00EF4EC1">
            <w:pPr>
              <w:pStyle w:val="SlideEquation"/>
              <w:spacing w:before="120"/>
              <w:ind w:left="284"/>
              <w:rPr>
                <w:color w:val="0000FF"/>
                <w:szCs w:val="22"/>
              </w:rPr>
            </w:pPr>
            <m:oMathPara>
              <m:oMathParaPr>
                <m:jc m:val="left"/>
              </m:oMathParaPr>
              <m:oMath>
                <m:r>
                  <m:rPr>
                    <m:nor/>
                  </m:rPr>
                  <w:rPr>
                    <w:color w:val="0000FF"/>
                    <w:szCs w:val="22"/>
                  </w:rPr>
                  <m:t>a</m:t>
                </m:r>
                <m:r>
                  <m:rPr>
                    <m:nor/>
                  </m:rPr>
                  <w:rPr>
                    <w:rFonts w:ascii="Cambria Math"/>
                    <w:color w:val="0000FF"/>
                    <w:szCs w:val="22"/>
                  </w:rPr>
                  <m:t xml:space="preserve"> =  </m:t>
                </m:r>
                <m:d>
                  <m:dPr>
                    <m:ctrlPr>
                      <w:rPr>
                        <w:rFonts w:ascii="Cambria Math" w:hAnsi="Cambria Math"/>
                        <w:snapToGrid/>
                        <w:color w:val="0000FF"/>
                        <w:szCs w:val="22"/>
                      </w:rPr>
                    </m:ctrlPr>
                  </m:dPr>
                  <m:e>
                    <m:sSub>
                      <m:sSubPr>
                        <m:ctrlPr>
                          <w:rPr>
                            <w:rFonts w:ascii="Cambria Math" w:hAnsi="Cambria Math"/>
                            <w:snapToGrid/>
                            <w:color w:val="0000FF"/>
                            <w:szCs w:val="22"/>
                          </w:rPr>
                        </m:ctrlPr>
                      </m:sSubPr>
                      <m:e>
                        <m:r>
                          <m:rPr>
                            <m:nor/>
                          </m:rPr>
                          <w:rPr>
                            <w:color w:val="0000FF"/>
                            <w:szCs w:val="22"/>
                          </w:rPr>
                          <m:t>l</m:t>
                        </m:r>
                      </m:e>
                      <m:sub>
                        <m:r>
                          <m:rPr>
                            <m:nor/>
                          </m:rPr>
                          <w:rPr>
                            <w:color w:val="0000FF"/>
                            <w:szCs w:val="22"/>
                          </w:rPr>
                          <m:t>1</m:t>
                        </m:r>
                      </m:sub>
                    </m:sSub>
                    <m:r>
                      <m:rPr>
                        <m:nor/>
                      </m:rPr>
                      <w:rPr>
                        <w:color w:val="0000FF"/>
                        <w:szCs w:val="22"/>
                      </w:rPr>
                      <m:t xml:space="preserve"> </m:t>
                    </m:r>
                    <m:r>
                      <m:rPr>
                        <m:nor/>
                      </m:rPr>
                      <w:rPr>
                        <w:rFonts w:ascii="Cambria Math" w:hAnsi="Cambria Math"/>
                        <w:color w:val="0000FF"/>
                        <w:szCs w:val="22"/>
                      </w:rPr>
                      <m:t>×</m:t>
                    </m:r>
                    <m:r>
                      <m:rPr>
                        <m:nor/>
                      </m:rPr>
                      <w:rPr>
                        <w:color w:val="0000FF"/>
                        <w:szCs w:val="22"/>
                      </w:rPr>
                      <m:t xml:space="preserve"> </m:t>
                    </m:r>
                    <m:sSub>
                      <m:sSubPr>
                        <m:ctrlPr>
                          <w:rPr>
                            <w:rFonts w:ascii="Cambria Math" w:hAnsi="Cambria Math"/>
                            <w:snapToGrid/>
                            <w:color w:val="0000FF"/>
                            <w:szCs w:val="22"/>
                          </w:rPr>
                        </m:ctrlPr>
                      </m:sSubPr>
                      <m:e>
                        <m:r>
                          <m:rPr>
                            <m:nor/>
                          </m:rPr>
                          <w:rPr>
                            <w:color w:val="0000FF"/>
                            <w:szCs w:val="22"/>
                          </w:rPr>
                          <m:t>w</m:t>
                        </m:r>
                      </m:e>
                      <m:sub>
                        <m:r>
                          <m:rPr>
                            <m:nor/>
                          </m:rPr>
                          <w:rPr>
                            <w:color w:val="0000FF"/>
                            <w:szCs w:val="22"/>
                          </w:rPr>
                          <m:t>1</m:t>
                        </m:r>
                      </m:sub>
                    </m:sSub>
                  </m:e>
                </m:d>
                <m:r>
                  <m:rPr>
                    <m:nor/>
                  </m:rPr>
                  <w:rPr>
                    <w:rFonts w:ascii="Cambria Math"/>
                    <w:color w:val="0000FF"/>
                    <w:szCs w:val="22"/>
                  </w:rPr>
                  <m:t xml:space="preserve"> </m:t>
                </m:r>
                <m:r>
                  <m:rPr>
                    <m:nor/>
                  </m:rPr>
                  <w:rPr>
                    <w:color w:val="0000FF"/>
                    <w:szCs w:val="22"/>
                  </w:rPr>
                  <m:t>+</m:t>
                </m:r>
                <m:r>
                  <m:rPr>
                    <m:nor/>
                  </m:rPr>
                  <w:rPr>
                    <w:rFonts w:ascii="Cambria Math"/>
                    <w:color w:val="0000FF"/>
                    <w:szCs w:val="22"/>
                  </w:rPr>
                  <m:t xml:space="preserve"> </m:t>
                </m:r>
                <m:d>
                  <m:dPr>
                    <m:ctrlPr>
                      <w:rPr>
                        <w:rFonts w:ascii="Cambria Math" w:hAnsi="Cambria Math"/>
                        <w:snapToGrid/>
                        <w:color w:val="0000FF"/>
                        <w:szCs w:val="22"/>
                      </w:rPr>
                    </m:ctrlPr>
                  </m:dPr>
                  <m:e>
                    <m:sSub>
                      <m:sSubPr>
                        <m:ctrlPr>
                          <w:rPr>
                            <w:rFonts w:ascii="Cambria Math" w:hAnsi="Cambria Math"/>
                            <w:snapToGrid/>
                            <w:color w:val="0000FF"/>
                            <w:szCs w:val="22"/>
                          </w:rPr>
                        </m:ctrlPr>
                      </m:sSubPr>
                      <m:e>
                        <m:r>
                          <m:rPr>
                            <m:nor/>
                          </m:rPr>
                          <w:rPr>
                            <w:color w:val="0000FF"/>
                            <w:szCs w:val="22"/>
                          </w:rPr>
                          <m:t>l</m:t>
                        </m:r>
                      </m:e>
                      <m:sub>
                        <m:r>
                          <m:rPr>
                            <m:nor/>
                          </m:rPr>
                          <w:rPr>
                            <w:color w:val="0000FF"/>
                            <w:szCs w:val="22"/>
                          </w:rPr>
                          <m:t>2</m:t>
                        </m:r>
                      </m:sub>
                    </m:sSub>
                    <m:r>
                      <m:rPr>
                        <m:nor/>
                      </m:rPr>
                      <w:rPr>
                        <w:color w:val="0000FF"/>
                        <w:szCs w:val="22"/>
                      </w:rPr>
                      <m:t xml:space="preserve"> </m:t>
                    </m:r>
                    <m:r>
                      <m:rPr>
                        <m:nor/>
                      </m:rPr>
                      <w:rPr>
                        <w:rFonts w:ascii="Cambria Math" w:hAnsi="Cambria Math"/>
                        <w:color w:val="0000FF"/>
                        <w:szCs w:val="22"/>
                      </w:rPr>
                      <m:t>×</m:t>
                    </m:r>
                    <m:r>
                      <m:rPr>
                        <m:nor/>
                      </m:rPr>
                      <w:rPr>
                        <w:color w:val="0000FF"/>
                        <w:szCs w:val="22"/>
                      </w:rPr>
                      <m:t xml:space="preserve"> </m:t>
                    </m:r>
                    <m:sSub>
                      <m:sSubPr>
                        <m:ctrlPr>
                          <w:rPr>
                            <w:rFonts w:ascii="Cambria Math" w:hAnsi="Cambria Math"/>
                            <w:snapToGrid/>
                            <w:color w:val="0000FF"/>
                            <w:szCs w:val="22"/>
                          </w:rPr>
                        </m:ctrlPr>
                      </m:sSubPr>
                      <m:e>
                        <m:r>
                          <m:rPr>
                            <m:nor/>
                          </m:rPr>
                          <w:rPr>
                            <w:color w:val="0000FF"/>
                            <w:szCs w:val="22"/>
                          </w:rPr>
                          <m:t>w</m:t>
                        </m:r>
                      </m:e>
                      <m:sub>
                        <m:r>
                          <m:rPr>
                            <m:nor/>
                          </m:rPr>
                          <w:rPr>
                            <w:color w:val="0000FF"/>
                            <w:szCs w:val="22"/>
                          </w:rPr>
                          <m:t>2</m:t>
                        </m:r>
                      </m:sub>
                    </m:sSub>
                  </m:e>
                </m:d>
                <m:r>
                  <m:rPr>
                    <m:nor/>
                  </m:rPr>
                  <w:rPr>
                    <w:rFonts w:ascii="Cambria Math"/>
                    <w:color w:val="0000FF"/>
                    <w:szCs w:val="22"/>
                  </w:rPr>
                  <m:t xml:space="preserve"> </m:t>
                </m:r>
                <m:r>
                  <m:rPr>
                    <m:nor/>
                  </m:rPr>
                  <w:rPr>
                    <w:color w:val="0000FF"/>
                    <w:szCs w:val="22"/>
                  </w:rPr>
                  <m:t>+</m:t>
                </m:r>
                <m:r>
                  <m:rPr>
                    <m:nor/>
                  </m:rPr>
                  <w:rPr>
                    <w:rFonts w:ascii="Cambria Math"/>
                    <w:color w:val="0000FF"/>
                    <w:szCs w:val="22"/>
                  </w:rPr>
                  <m:t xml:space="preserve"> </m:t>
                </m:r>
                <m:d>
                  <m:dPr>
                    <m:ctrlPr>
                      <w:rPr>
                        <w:rFonts w:ascii="Cambria Math" w:hAnsi="Cambria Math"/>
                        <w:snapToGrid/>
                        <w:color w:val="0000FF"/>
                        <w:szCs w:val="22"/>
                      </w:rPr>
                    </m:ctrlPr>
                  </m:dPr>
                  <m:e>
                    <m:sSub>
                      <m:sSubPr>
                        <m:ctrlPr>
                          <w:rPr>
                            <w:rFonts w:ascii="Cambria Math" w:hAnsi="Cambria Math"/>
                            <w:snapToGrid/>
                            <w:color w:val="0000FF"/>
                            <w:szCs w:val="22"/>
                          </w:rPr>
                        </m:ctrlPr>
                      </m:sSubPr>
                      <m:e>
                        <m:r>
                          <m:rPr>
                            <m:nor/>
                          </m:rPr>
                          <w:rPr>
                            <w:color w:val="0000FF"/>
                            <w:szCs w:val="22"/>
                          </w:rPr>
                          <m:t>l</m:t>
                        </m:r>
                      </m:e>
                      <m:sub>
                        <m:r>
                          <m:rPr>
                            <m:nor/>
                          </m:rPr>
                          <w:rPr>
                            <w:color w:val="0000FF"/>
                            <w:szCs w:val="22"/>
                          </w:rPr>
                          <m:t>3</m:t>
                        </m:r>
                      </m:sub>
                    </m:sSub>
                    <m:sSub>
                      <m:sSubPr>
                        <m:ctrlPr>
                          <w:rPr>
                            <w:rFonts w:ascii="Cambria Math" w:hAnsi="Cambria Math"/>
                            <w:snapToGrid/>
                            <w:color w:val="0000FF"/>
                            <w:szCs w:val="22"/>
                          </w:rPr>
                        </m:ctrlPr>
                      </m:sSubPr>
                      <m:e>
                        <m:r>
                          <m:rPr>
                            <m:nor/>
                          </m:rPr>
                          <w:rPr>
                            <w:rFonts w:ascii="Cambria Math"/>
                            <w:color w:val="0000FF"/>
                            <w:szCs w:val="22"/>
                          </w:rPr>
                          <m:t xml:space="preserve"> </m:t>
                        </m:r>
                        <m:r>
                          <m:rPr>
                            <m:nor/>
                          </m:rPr>
                          <w:rPr>
                            <w:rFonts w:ascii="Cambria Math" w:hAnsi="Cambria Math"/>
                            <w:color w:val="0000FF"/>
                            <w:szCs w:val="22"/>
                          </w:rPr>
                          <m:t>×</m:t>
                        </m:r>
                        <m:r>
                          <m:rPr>
                            <m:nor/>
                          </m:rPr>
                          <w:rPr>
                            <w:rFonts w:ascii="Cambria Math"/>
                            <w:color w:val="0000FF"/>
                            <w:szCs w:val="22"/>
                          </w:rPr>
                          <m:t xml:space="preserve"> </m:t>
                        </m:r>
                        <m:r>
                          <m:rPr>
                            <m:nor/>
                          </m:rPr>
                          <w:rPr>
                            <w:color w:val="0000FF"/>
                            <w:szCs w:val="22"/>
                          </w:rPr>
                          <m:t>w</m:t>
                        </m:r>
                      </m:e>
                      <m:sub>
                        <m:r>
                          <m:rPr>
                            <m:nor/>
                          </m:rPr>
                          <w:rPr>
                            <w:color w:val="0000FF"/>
                            <w:szCs w:val="22"/>
                          </w:rPr>
                          <m:t>3</m:t>
                        </m:r>
                      </m:sub>
                    </m:sSub>
                  </m:e>
                </m:d>
              </m:oMath>
            </m:oMathPara>
          </w:p>
        </w:tc>
        <w:tc>
          <w:tcPr>
            <w:tcW w:w="4711" w:type="dxa"/>
            <w:gridSpan w:val="2"/>
          </w:tcPr>
          <w:p w:rsidR="00EF4EC1" w:rsidRPr="00C80BD9" w:rsidRDefault="00EF4EC1" w:rsidP="00EF4EC1">
            <w:pPr>
              <w:spacing w:line="240" w:lineRule="atLeast"/>
              <w:rPr>
                <w:rFonts w:ascii="Arial" w:hAnsi="Arial" w:cs="Arial"/>
              </w:rPr>
            </w:pPr>
            <w:r>
              <w:rPr>
                <w:rFonts w:ascii="Times New Roman" w:eastAsia="Times New Roman" w:hAnsi="Times New Roman"/>
              </w:rPr>
              <w:object w:dxaOrig="6255" w:dyaOrig="1845">
                <v:shape id="_x0000_i1027" type="#_x0000_t75" style="width:153.4pt;height:44.85pt" o:ole="">
                  <v:imagedata r:id="rId22" o:title=""/>
                </v:shape>
                <o:OLEObject Type="Embed" ProgID="PBrush" ShapeID="_x0000_i1027" DrawAspect="Content" ObjectID="_1578678661" r:id="rId23"/>
              </w:object>
            </w:r>
          </w:p>
        </w:tc>
      </w:tr>
      <w:tr w:rsidR="00EF4EC1" w:rsidRPr="00C80BD9" w:rsidTr="00EF4EC1">
        <w:tc>
          <w:tcPr>
            <w:tcW w:w="4536" w:type="dxa"/>
            <w:gridSpan w:val="4"/>
            <w:vAlign w:val="center"/>
          </w:tcPr>
          <w:p w:rsidR="00EF4EC1" w:rsidRPr="001C74E0" w:rsidRDefault="00EF4EC1" w:rsidP="00EF4EC1">
            <w:pPr>
              <w:pStyle w:val="Slide2"/>
              <w:ind w:left="0" w:firstLine="0"/>
              <w:rPr>
                <w:i/>
                <w:color w:val="0000FF"/>
                <w:szCs w:val="22"/>
              </w:rPr>
            </w:pPr>
            <w:r w:rsidRPr="001C74E0">
              <w:rPr>
                <w:i/>
                <w:color w:val="0000FF"/>
                <w:szCs w:val="22"/>
              </w:rPr>
              <w:lastRenderedPageBreak/>
              <w:t>If there are an unknown number (n) of rectangles</w:t>
            </w:r>
          </w:p>
          <w:p w:rsidR="00EF4EC1" w:rsidRPr="001C74E0" w:rsidRDefault="00EF4EC1" w:rsidP="00EF4EC1">
            <w:pPr>
              <w:pStyle w:val="SlideEquation"/>
              <w:spacing w:before="120"/>
              <w:ind w:left="284"/>
              <w:rPr>
                <w:color w:val="0000FF"/>
                <w:szCs w:val="22"/>
              </w:rPr>
            </w:pPr>
            <m:oMathPara>
              <m:oMathParaPr>
                <m:jc m:val="left"/>
              </m:oMathParaPr>
              <m:oMath>
                <m:r>
                  <m:rPr>
                    <m:nor/>
                  </m:rPr>
                  <w:rPr>
                    <w:rFonts w:ascii="Cambria Math"/>
                    <w:color w:val="0000FF"/>
                    <w:szCs w:val="22"/>
                  </w:rPr>
                  <m:t xml:space="preserve">a =  </m:t>
                </m:r>
                <m:nary>
                  <m:naryPr>
                    <m:chr m:val="∑"/>
                    <m:limLoc m:val="undOvr"/>
                    <m:ctrlPr>
                      <w:rPr>
                        <w:rFonts w:ascii="Cambria Math" w:hAnsi="Cambria Math"/>
                        <w:color w:val="0000FF"/>
                        <w:szCs w:val="22"/>
                      </w:rPr>
                    </m:ctrlPr>
                  </m:naryPr>
                  <m:sub>
                    <m:r>
                      <m:rPr>
                        <m:nor/>
                      </m:rPr>
                      <w:rPr>
                        <w:color w:val="0000FF"/>
                        <w:szCs w:val="22"/>
                      </w:rPr>
                      <m:t>r</m:t>
                    </m:r>
                    <m:r>
                      <m:rPr>
                        <m:nor/>
                      </m:rPr>
                      <w:rPr>
                        <w:rFonts w:ascii="Cambria Math"/>
                        <w:color w:val="0000FF"/>
                        <w:szCs w:val="22"/>
                      </w:rPr>
                      <m:t xml:space="preserve"> =  </m:t>
                    </m:r>
                    <m:r>
                      <m:rPr>
                        <m:nor/>
                      </m:rPr>
                      <w:rPr>
                        <w:color w:val="0000FF"/>
                        <w:szCs w:val="22"/>
                      </w:rPr>
                      <m:t>1</m:t>
                    </m:r>
                  </m:sub>
                  <m:sup>
                    <m:r>
                      <m:rPr>
                        <m:nor/>
                      </m:rPr>
                      <w:rPr>
                        <w:color w:val="0000FF"/>
                        <w:szCs w:val="22"/>
                      </w:rPr>
                      <m:t>n</m:t>
                    </m:r>
                  </m:sup>
                  <m:e>
                    <m:d>
                      <m:dPr>
                        <m:ctrlPr>
                          <w:rPr>
                            <w:rFonts w:ascii="Cambria Math" w:eastAsia="Times New Roman" w:hAnsi="Cambria Math"/>
                            <w:snapToGrid/>
                            <w:color w:val="0000FF"/>
                            <w:szCs w:val="22"/>
                            <w:lang w:val="en-AU"/>
                          </w:rPr>
                        </m:ctrlPr>
                      </m:dPr>
                      <m:e>
                        <m:sSub>
                          <m:sSubPr>
                            <m:ctrlPr>
                              <w:rPr>
                                <w:rFonts w:ascii="Cambria Math" w:eastAsia="Times New Roman" w:hAnsi="Cambria Math"/>
                                <w:snapToGrid/>
                                <w:color w:val="0000FF"/>
                                <w:szCs w:val="22"/>
                                <w:lang w:val="en-AU"/>
                              </w:rPr>
                            </m:ctrlPr>
                          </m:sSubPr>
                          <m:e>
                            <m:r>
                              <m:rPr>
                                <m:nor/>
                              </m:rPr>
                              <w:rPr>
                                <w:color w:val="0000FF"/>
                                <w:szCs w:val="22"/>
                              </w:rPr>
                              <m:t>l</m:t>
                            </m:r>
                          </m:e>
                          <m:sub>
                            <m:r>
                              <m:rPr>
                                <m:nor/>
                              </m:rPr>
                              <w:rPr>
                                <w:color w:val="0000FF"/>
                                <w:szCs w:val="22"/>
                              </w:rPr>
                              <m:t>r</m:t>
                            </m:r>
                          </m:sub>
                        </m:sSub>
                        <m:r>
                          <w:rPr>
                            <w:rFonts w:ascii="Cambria Math" w:eastAsia="Times New Roman" w:hAnsi="Cambria Math"/>
                            <w:snapToGrid/>
                            <w:color w:val="0000FF"/>
                            <w:szCs w:val="22"/>
                            <w:lang w:val="en-AU"/>
                          </w:rPr>
                          <m:t xml:space="preserve"> × </m:t>
                        </m:r>
                        <m:sSub>
                          <m:sSubPr>
                            <m:ctrlPr>
                              <w:rPr>
                                <w:rFonts w:ascii="Cambria Math" w:eastAsia="Times New Roman" w:hAnsi="Cambria Math"/>
                                <w:snapToGrid/>
                                <w:color w:val="0000FF"/>
                                <w:szCs w:val="22"/>
                                <w:lang w:val="en-AU"/>
                              </w:rPr>
                            </m:ctrlPr>
                          </m:sSubPr>
                          <m:e>
                            <m:r>
                              <m:rPr>
                                <m:nor/>
                              </m:rPr>
                              <w:rPr>
                                <w:color w:val="0000FF"/>
                                <w:szCs w:val="22"/>
                              </w:rPr>
                              <m:t>W</m:t>
                            </m:r>
                          </m:e>
                          <m:sub>
                            <m:r>
                              <m:rPr>
                                <m:nor/>
                              </m:rPr>
                              <w:rPr>
                                <w:color w:val="0000FF"/>
                                <w:szCs w:val="22"/>
                              </w:rPr>
                              <m:t>r</m:t>
                            </m:r>
                          </m:sub>
                        </m:sSub>
                      </m:e>
                    </m:d>
                  </m:e>
                </m:nary>
              </m:oMath>
            </m:oMathPara>
          </w:p>
        </w:tc>
        <w:tc>
          <w:tcPr>
            <w:tcW w:w="4144" w:type="dxa"/>
          </w:tcPr>
          <w:p w:rsidR="00EF4EC1" w:rsidRPr="00C80BD9" w:rsidRDefault="00EF4EC1" w:rsidP="00EF4EC1">
            <w:pPr>
              <w:spacing w:line="240" w:lineRule="atLeast"/>
              <w:rPr>
                <w:rFonts w:ascii="Arial" w:hAnsi="Arial" w:cs="Arial"/>
              </w:rPr>
            </w:pPr>
            <w:r>
              <w:rPr>
                <w:rFonts w:ascii="Times New Roman" w:eastAsia="Times New Roman" w:hAnsi="Times New Roman"/>
              </w:rPr>
              <w:object w:dxaOrig="8535" w:dyaOrig="1935">
                <v:shape id="_x0000_i1028" type="#_x0000_t75" style="width:199.95pt;height:44.85pt" o:ole="">
                  <v:imagedata r:id="rId24" o:title=""/>
                </v:shape>
                <o:OLEObject Type="Embed" ProgID="PBrush" ShapeID="_x0000_i1028" DrawAspect="Content" ObjectID="_1578678662" r:id="rId25"/>
              </w:object>
            </w:r>
          </w:p>
        </w:tc>
      </w:tr>
    </w:tbl>
    <w:p w:rsidR="00EF4EC1" w:rsidRPr="00C80BD9" w:rsidRDefault="00EF4EC1" w:rsidP="00EF4EC1">
      <w:pPr>
        <w:pStyle w:val="Slidelabel"/>
      </w:pPr>
      <w:r w:rsidRPr="00C80BD9">
        <w:t xml:space="preserve">Use of </w:t>
      </w:r>
      <w:r w:rsidRPr="005737C9">
        <w:t>summation</w:t>
      </w:r>
      <w:r w:rsidRPr="00C80BD9">
        <w:t xml:space="preserve"> sign</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rPr>
          <w:cantSplit/>
        </w:trPr>
        <w:tc>
          <w:tcPr>
            <w:tcW w:w="8505" w:type="dxa"/>
            <w:shd w:val="clear" w:color="auto" w:fill="FFFFFF"/>
          </w:tcPr>
          <w:p w:rsidR="00EF4EC1" w:rsidRPr="00E331FB" w:rsidRDefault="00EF4EC1" w:rsidP="00EF4EC1">
            <w:pPr>
              <w:pStyle w:val="Slide1"/>
              <w:keepNext w:val="0"/>
              <w:rPr>
                <w:color w:val="0000FF"/>
              </w:rPr>
            </w:pPr>
            <w:r w:rsidRPr="00E331FB">
              <w:rPr>
                <w:color w:val="0000FF"/>
              </w:rPr>
              <w:t>8</w:t>
            </w:r>
            <w:r w:rsidRPr="00E331FB">
              <w:rPr>
                <w:color w:val="0000FF"/>
              </w:rPr>
              <w:tab/>
              <w:t>Previous month’s weighted average price</w:t>
            </w:r>
          </w:p>
          <w:p w:rsidR="00EF4EC1" w:rsidRPr="00E331FB" w:rsidRDefault="00EF4EC1" w:rsidP="00EF4EC1">
            <w:pPr>
              <w:pStyle w:val="Slide2"/>
              <w:rPr>
                <w:color w:val="0000FF"/>
              </w:rPr>
            </w:pPr>
            <w:r w:rsidRPr="00E331FB">
              <w:rPr>
                <w:color w:val="0000FF"/>
              </w:rPr>
              <w:tab/>
              <w:t>The weighted average price for a particular kind of motor fuel supplied from a declared terminal during the previous month is calculated (to the nearest 0.1 cent/litre) by using the formula:</w:t>
            </w:r>
          </w:p>
          <w:p w:rsidR="00EF4EC1" w:rsidRPr="00E331FB" w:rsidRDefault="00EF4EC1" w:rsidP="00EF4EC1">
            <w:pPr>
              <w:pStyle w:val="SlideEquation"/>
              <w:rPr>
                <w:color w:val="0000FF"/>
              </w:rPr>
            </w:pPr>
            <m:oMathPara>
              <m:oMathParaPr>
                <m:jc m:val="left"/>
              </m:oMathParaPr>
              <m:oMath>
                <m:r>
                  <m:rPr>
                    <m:nor/>
                  </m:rPr>
                  <w:rPr>
                    <w:color w:val="0000FF"/>
                  </w:rPr>
                  <m:t>a</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i/>
                        <w:color w:val="0000FF"/>
                      </w:rPr>
                    </m:ctrlPr>
                  </m:fPr>
                  <m:num>
                    <m:nary>
                      <m:naryPr>
                        <m:chr m:val="∑"/>
                        <m:limLoc m:val="undOvr"/>
                        <m:ctrlPr>
                          <w:rPr>
                            <w:rFonts w:ascii="Cambria Math" w:hAnsi="Cambria Math"/>
                            <w:i/>
                            <w:color w:val="0000FF"/>
                          </w:rPr>
                        </m:ctrlPr>
                      </m:naryPr>
                      <m:sub>
                        <m:r>
                          <m:rPr>
                            <m:nor/>
                          </m:rPr>
                          <w:rPr>
                            <w:rFonts w:ascii="Cambria Math"/>
                            <w:color w:val="0000FF"/>
                          </w:rPr>
                          <m:t xml:space="preserve"> </m:t>
                        </m:r>
                        <m:r>
                          <m:rPr>
                            <m:nor/>
                          </m:rPr>
                          <w:rPr>
                            <w:color w:val="0000FF"/>
                          </w:rPr>
                          <m:t>n</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1</m:t>
                        </m:r>
                        <m:r>
                          <m:rPr>
                            <m:nor/>
                          </m:rPr>
                          <w:rPr>
                            <w:rFonts w:ascii="Cambria Math"/>
                            <w:color w:val="0000FF"/>
                          </w:rPr>
                          <m:t xml:space="preserve"> </m:t>
                        </m:r>
                      </m:sub>
                      <m:sup>
                        <m:r>
                          <m:rPr>
                            <m:nor/>
                          </m:rPr>
                          <w:rPr>
                            <w:rFonts w:ascii="Cambria Math"/>
                            <w:color w:val="0000FF"/>
                          </w:rPr>
                          <m:t xml:space="preserve"> </m:t>
                        </m:r>
                        <m:r>
                          <m:rPr>
                            <m:nor/>
                          </m:rPr>
                          <w:rPr>
                            <w:color w:val="0000FF"/>
                          </w:rPr>
                          <m:t>t</m:t>
                        </m:r>
                      </m:sup>
                      <m:e>
                        <m:d>
                          <m:dPr>
                            <m:ctrlPr>
                              <w:rPr>
                                <w:rFonts w:ascii="Cambria Math" w:hAnsi="Cambria Math"/>
                                <w:i/>
                                <w:color w:val="0000FF"/>
                              </w:rPr>
                            </m:ctrlPr>
                          </m:dPr>
                          <m:e>
                            <m:sSub>
                              <m:sSubPr>
                                <m:ctrlPr>
                                  <w:rPr>
                                    <w:rFonts w:ascii="Cambria Math" w:hAnsi="Cambria Math"/>
                                    <w:i/>
                                    <w:color w:val="0000FF"/>
                                  </w:rPr>
                                </m:ctrlPr>
                              </m:sSubPr>
                              <m:e>
                                <m:r>
                                  <m:rPr>
                                    <m:nor/>
                                  </m:rPr>
                                  <w:rPr>
                                    <w:color w:val="0000FF"/>
                                  </w:rPr>
                                  <m:t>p</m:t>
                                </m:r>
                              </m:e>
                              <m:sub>
                                <m:r>
                                  <m:rPr>
                                    <m:nor/>
                                  </m:rPr>
                                  <w:rPr>
                                    <w:color w:val="0000FF"/>
                                  </w:rPr>
                                  <m:t>n</m:t>
                                </m:r>
                              </m:sub>
                            </m:sSub>
                            <m:r>
                              <m:rPr>
                                <m:nor/>
                              </m:rPr>
                              <w:rPr>
                                <w:rFonts w:ascii="Cambria Math"/>
                                <w:color w:val="0000FF"/>
                              </w:rPr>
                              <m:t xml:space="preserve"> </m:t>
                            </m:r>
                            <m:r>
                              <m:rPr>
                                <m:nor/>
                              </m:rPr>
                              <w:rPr>
                                <w:rFonts w:ascii="Cambria Math" w:hAnsi="Cambria Math"/>
                                <w:color w:val="0000FF"/>
                              </w:rPr>
                              <m:t>×</m:t>
                            </m:r>
                            <m:sSub>
                              <m:sSubPr>
                                <m:ctrlPr>
                                  <w:rPr>
                                    <w:rFonts w:ascii="Cambria Math" w:hAnsi="Cambria Math"/>
                                    <w:i/>
                                    <w:color w:val="0000FF"/>
                                  </w:rPr>
                                </m:ctrlPr>
                              </m:sSubPr>
                              <m:e>
                                <m:r>
                                  <m:rPr>
                                    <m:nor/>
                                  </m:rPr>
                                  <w:rPr>
                                    <w:rFonts w:ascii="Cambria Math"/>
                                    <w:color w:val="0000FF"/>
                                  </w:rPr>
                                  <m:t xml:space="preserve"> </m:t>
                                </m:r>
                                <m:r>
                                  <m:rPr>
                                    <m:nor/>
                                  </m:rPr>
                                  <w:rPr>
                                    <w:color w:val="0000FF"/>
                                  </w:rPr>
                                  <m:t>v</m:t>
                                </m:r>
                              </m:e>
                              <m:sub>
                                <m:r>
                                  <m:rPr>
                                    <m:nor/>
                                  </m:rPr>
                                  <w:rPr>
                                    <w:color w:val="0000FF"/>
                                  </w:rPr>
                                  <m:t>n</m:t>
                                </m:r>
                              </m:sub>
                            </m:sSub>
                          </m:e>
                        </m:d>
                      </m:e>
                    </m:nary>
                  </m:num>
                  <m:den>
                    <m:r>
                      <m:rPr>
                        <m:nor/>
                      </m:rPr>
                      <w:rPr>
                        <w:color w:val="0000FF"/>
                      </w:rPr>
                      <m:t>w</m:t>
                    </m:r>
                  </m:den>
                </m:f>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a</w:t>
            </w:r>
            <w:r w:rsidRPr="00E331FB">
              <w:rPr>
                <w:color w:val="0000FF"/>
              </w:rPr>
              <w:tab/>
              <w:t>=</w:t>
            </w:r>
            <w:r w:rsidRPr="00E331FB">
              <w:rPr>
                <w:color w:val="0000FF"/>
              </w:rPr>
              <w:tab/>
              <w:t>weighted average price in cents/litre</w:t>
            </w:r>
          </w:p>
          <w:p w:rsidR="00EF4EC1" w:rsidRPr="00E331FB" w:rsidRDefault="00EF4EC1" w:rsidP="00EF4EC1">
            <w:pPr>
              <w:pStyle w:val="Slide3"/>
              <w:rPr>
                <w:color w:val="0000FF"/>
              </w:rPr>
            </w:pPr>
            <w:r w:rsidRPr="00E331FB">
              <w:rPr>
                <w:color w:val="0000FF"/>
              </w:rPr>
              <w:t>t</w:t>
            </w:r>
            <w:r w:rsidRPr="00E331FB">
              <w:rPr>
                <w:color w:val="0000FF"/>
              </w:rPr>
              <w:tab/>
              <w:t>=</w:t>
            </w:r>
            <w:r w:rsidRPr="00E331FB">
              <w:rPr>
                <w:color w:val="0000FF"/>
              </w:rPr>
              <w:tab/>
              <w:t>total number of transactions used to calculate the weighted average price</w:t>
            </w:r>
          </w:p>
          <w:p w:rsidR="00EF4EC1" w:rsidRPr="00E331FB" w:rsidRDefault="00EF4EC1" w:rsidP="00EF4EC1">
            <w:pPr>
              <w:pStyle w:val="Slide3"/>
              <w:rPr>
                <w:color w:val="0000FF"/>
              </w:rPr>
            </w:pPr>
            <w:r w:rsidRPr="00E331FB">
              <w:rPr>
                <w:bCs/>
                <w:color w:val="0000FF"/>
              </w:rPr>
              <w:t>p</w:t>
            </w:r>
            <w:r w:rsidRPr="00E331FB">
              <w:rPr>
                <w:bCs/>
                <w:color w:val="0000FF"/>
                <w:vertAlign w:val="subscript"/>
              </w:rPr>
              <w:t>n</w:t>
            </w:r>
            <w:r w:rsidRPr="00E331FB">
              <w:rPr>
                <w:bCs/>
                <w:color w:val="0000FF"/>
              </w:rPr>
              <w:tab/>
              <w:t>=</w:t>
            </w:r>
            <w:r w:rsidRPr="00E331FB">
              <w:rPr>
                <w:bCs/>
                <w:color w:val="0000FF"/>
              </w:rPr>
              <w:tab/>
            </w:r>
            <w:r w:rsidRPr="00E331FB">
              <w:rPr>
                <w:color w:val="0000FF"/>
              </w:rPr>
              <w:t xml:space="preserve">price in cents/litre </w:t>
            </w:r>
            <w:r w:rsidRPr="00E331FB">
              <w:rPr>
                <w:bCs/>
                <w:color w:val="0000FF"/>
              </w:rPr>
              <w:t>for the n</w:t>
            </w:r>
            <w:r w:rsidRPr="00E331FB">
              <w:rPr>
                <w:bCs/>
                <w:color w:val="0000FF"/>
                <w:vertAlign w:val="superscript"/>
              </w:rPr>
              <w:t>th</w:t>
            </w:r>
            <w:r w:rsidRPr="00E331FB">
              <w:rPr>
                <w:bCs/>
                <w:color w:val="0000FF"/>
              </w:rPr>
              <w:t xml:space="preserve"> transaction</w:t>
            </w:r>
            <w:r w:rsidRPr="00E331FB">
              <w:rPr>
                <w:color w:val="0000FF"/>
              </w:rPr>
              <w:t xml:space="preserve"> used to calculate the weighted average price</w:t>
            </w:r>
          </w:p>
          <w:p w:rsidR="00EF4EC1" w:rsidRPr="00E331FB" w:rsidRDefault="00EF4EC1" w:rsidP="00EF4EC1">
            <w:pPr>
              <w:pStyle w:val="Slide3"/>
              <w:rPr>
                <w:color w:val="0000FF"/>
              </w:rPr>
            </w:pPr>
            <w:r w:rsidRPr="00E331FB">
              <w:rPr>
                <w:bCs/>
                <w:color w:val="0000FF"/>
              </w:rPr>
              <w:t>v</w:t>
            </w:r>
            <w:r w:rsidRPr="00E331FB">
              <w:rPr>
                <w:bCs/>
                <w:color w:val="0000FF"/>
                <w:vertAlign w:val="subscript"/>
              </w:rPr>
              <w:t>n</w:t>
            </w:r>
            <w:r w:rsidRPr="00E331FB">
              <w:rPr>
                <w:bCs/>
                <w:color w:val="0000FF"/>
              </w:rPr>
              <w:tab/>
              <w:t>=</w:t>
            </w:r>
            <w:r w:rsidRPr="00E331FB">
              <w:rPr>
                <w:bCs/>
                <w:color w:val="0000FF"/>
              </w:rPr>
              <w:tab/>
            </w:r>
            <w:r w:rsidRPr="00E331FB">
              <w:rPr>
                <w:color w:val="0000FF"/>
              </w:rPr>
              <w:t xml:space="preserve">volume in litres </w:t>
            </w:r>
            <w:r w:rsidRPr="00E331FB">
              <w:rPr>
                <w:bCs/>
                <w:color w:val="0000FF"/>
              </w:rPr>
              <w:t>of the n</w:t>
            </w:r>
            <w:r w:rsidRPr="00E331FB">
              <w:rPr>
                <w:bCs/>
                <w:color w:val="0000FF"/>
                <w:vertAlign w:val="superscript"/>
              </w:rPr>
              <w:t>th</w:t>
            </w:r>
            <w:r w:rsidRPr="00E331FB">
              <w:rPr>
                <w:bCs/>
                <w:color w:val="0000FF"/>
              </w:rPr>
              <w:t xml:space="preserve"> transaction</w:t>
            </w:r>
            <w:r w:rsidRPr="00E331FB">
              <w:rPr>
                <w:color w:val="0000FF"/>
              </w:rPr>
              <w:t xml:space="preserve"> used to calculate the weighted average price</w:t>
            </w:r>
          </w:p>
          <w:p w:rsidR="00EF4EC1" w:rsidRPr="00E331FB" w:rsidRDefault="00EF4EC1" w:rsidP="00EF4EC1">
            <w:pPr>
              <w:pStyle w:val="Slide3"/>
              <w:rPr>
                <w:color w:val="0000FF"/>
              </w:rPr>
            </w:pPr>
            <w:r w:rsidRPr="00E331FB">
              <w:rPr>
                <w:color w:val="0000FF"/>
              </w:rPr>
              <w:t>w</w:t>
            </w:r>
            <w:r w:rsidRPr="00E331FB">
              <w:rPr>
                <w:color w:val="0000FF"/>
              </w:rPr>
              <w:tab/>
              <w:t>=</w:t>
            </w:r>
            <w:r w:rsidRPr="00E331FB">
              <w:rPr>
                <w:color w:val="0000FF"/>
              </w:rPr>
              <w:tab/>
              <w:t>total volume in litres of all the transactions used to calculate the weighted average price.</w:t>
            </w:r>
          </w:p>
        </w:tc>
      </w:tr>
    </w:tbl>
    <w:p w:rsidR="00EF4EC1" w:rsidRPr="007D7133" w:rsidRDefault="00EF4EC1" w:rsidP="00EF4EC1">
      <w:pPr>
        <w:pStyle w:val="Heading4"/>
      </w:pPr>
      <w:bookmarkStart w:id="151" w:name="_Toc477006918"/>
      <w:bookmarkStart w:id="152" w:name="_Toc477006978"/>
      <w:bookmarkStart w:id="153" w:name="_Toc477159616"/>
      <w:r w:rsidRPr="007D7133">
        <w:t>Variables</w:t>
      </w:r>
      <w:bookmarkEnd w:id="151"/>
      <w:bookmarkEnd w:id="152"/>
      <w:bookmarkEnd w:id="153"/>
    </w:p>
    <w:p w:rsidR="00EF4EC1" w:rsidRDefault="00EF4EC1" w:rsidP="00EF4EC1">
      <w:pPr>
        <w:pStyle w:val="Normaltext1"/>
      </w:pPr>
      <w:r w:rsidRPr="007D7133">
        <w:t>A variable is a symbol (usually a letter) used to represent an unknown element in a formula.</w:t>
      </w:r>
      <w:r>
        <w:t xml:space="preserve"> </w:t>
      </w:r>
    </w:p>
    <w:p w:rsidR="00EF4EC1" w:rsidRPr="007D7133" w:rsidRDefault="00EF4EC1" w:rsidP="00EF4EC1">
      <w:pPr>
        <w:pStyle w:val="Normaltext1"/>
      </w:pPr>
      <w:r w:rsidRPr="007D7133">
        <w:t xml:space="preserve">It is likely to be helpful to a reader if the variable chosen has some relationship with the value it represents (rather than just using a, b, c, </w:t>
      </w:r>
      <w:r>
        <w:t>etc.</w:t>
      </w:r>
      <w:r w:rsidRPr="007D7133">
        <w:t>).</w:t>
      </w:r>
    </w:p>
    <w:p w:rsidR="00EF4EC1" w:rsidRPr="00C80BD9" w:rsidRDefault="00EF4EC1" w:rsidP="00EF4EC1">
      <w:pPr>
        <w:pStyle w:val="Slidelabel"/>
      </w:pPr>
      <w:r w:rsidRPr="00C80BD9">
        <w:t>Meaningful variables</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1"/>
              <w:keepNext w:val="0"/>
              <w:rPr>
                <w:color w:val="0000FF"/>
              </w:rPr>
            </w:pPr>
            <w:bookmarkStart w:id="154" w:name="_Toc435930269"/>
            <w:bookmarkStart w:id="155" w:name="_Toc438262854"/>
            <w:bookmarkStart w:id="156" w:name="_Toc448726080"/>
            <w:bookmarkStart w:id="157" w:name="_Toc450034476"/>
            <w:bookmarkStart w:id="158" w:name="_Toc461507559"/>
            <w:bookmarkStart w:id="159" w:name="_Toc462551496"/>
            <w:bookmarkStart w:id="160" w:name="_Toc503160304"/>
            <w:bookmarkStart w:id="161" w:name="_Toc507406041"/>
            <w:bookmarkStart w:id="162" w:name="_Toc13113965"/>
            <w:bookmarkStart w:id="163" w:name="_Toc20539428"/>
            <w:bookmarkStart w:id="164" w:name="_Toc112731929"/>
            <w:bookmarkStart w:id="165" w:name="_Toc203361743"/>
            <w:r w:rsidRPr="00E331FB">
              <w:rPr>
                <w:color w:val="0000FF"/>
              </w:rPr>
              <w:t>38</w:t>
            </w:r>
            <w:r w:rsidRPr="00E331FB">
              <w:rPr>
                <w:color w:val="0000FF"/>
              </w:rPr>
              <w:tab/>
              <w:t>Retirement benefit</w:t>
            </w:r>
            <w:bookmarkEnd w:id="154"/>
            <w:bookmarkEnd w:id="155"/>
            <w:bookmarkEnd w:id="156"/>
            <w:bookmarkEnd w:id="157"/>
            <w:bookmarkEnd w:id="158"/>
            <w:bookmarkEnd w:id="159"/>
            <w:bookmarkEnd w:id="160"/>
            <w:bookmarkEnd w:id="161"/>
            <w:bookmarkEnd w:id="162"/>
            <w:bookmarkEnd w:id="163"/>
            <w:bookmarkEnd w:id="164"/>
            <w:bookmarkEnd w:id="165"/>
          </w:p>
          <w:p w:rsidR="00EF4EC1" w:rsidRPr="00E331FB" w:rsidRDefault="00EF4EC1" w:rsidP="00EF4EC1">
            <w:pPr>
              <w:pStyle w:val="Slide2"/>
              <w:rPr>
                <w:color w:val="0000FF"/>
              </w:rPr>
            </w:pPr>
            <w:r w:rsidRPr="00E331FB">
              <w:rPr>
                <w:color w:val="0000FF"/>
              </w:rPr>
              <w:tab/>
              <w:t xml:space="preserve">If a Member who is 55 or over ceases to be a worker, the Board is to pay the Member a </w:t>
            </w:r>
            <w:r w:rsidRPr="00E331FB">
              <w:rPr>
                <w:bCs/>
                <w:color w:val="0000FF"/>
              </w:rPr>
              <w:t>benefit</w:t>
            </w:r>
            <w:r w:rsidRPr="00E331FB">
              <w:rPr>
                <w:color w:val="0000FF"/>
              </w:rPr>
              <w:t xml:space="preserve"> of an amount calculated using the formula:</w:t>
            </w:r>
          </w:p>
          <w:p w:rsidR="00EF4EC1" w:rsidRPr="00E331FB" w:rsidRDefault="00EF4EC1" w:rsidP="00EF4EC1">
            <w:pPr>
              <w:pStyle w:val="SlideEquation"/>
              <w:rPr>
                <w:color w:val="0000FF"/>
                <w:oMath/>
              </w:rPr>
            </w:pPr>
            <m:oMathPara>
              <m:oMathParaPr>
                <m:jc m:val="left"/>
              </m:oMathParaPr>
              <m:oMath>
                <m:r>
                  <m:rPr>
                    <m:nor/>
                  </m:rPr>
                  <w:rPr>
                    <w:color w:val="0000FF"/>
                  </w:rPr>
                  <m:t>b</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r</m:t>
                </m:r>
                <m:r>
                  <m:rPr>
                    <m:nor/>
                  </m:rPr>
                  <w:rPr>
                    <w:rFonts w:ascii="Cambria Math"/>
                    <w:color w:val="0000FF"/>
                  </w:rPr>
                  <m:t xml:space="preserve"> </m:t>
                </m:r>
                <m:r>
                  <m:rPr>
                    <m:nor/>
                  </m:rPr>
                  <w:rPr>
                    <w:rFonts w:ascii="Cambria Math" w:hAnsi="Cambria Math"/>
                    <w:color w:val="0000FF"/>
                  </w:rPr>
                  <m:t>×</m:t>
                </m:r>
                <m:f>
                  <m:fPr>
                    <m:ctrlPr>
                      <w:rPr>
                        <w:rFonts w:ascii="Cambria Math" w:hAnsi="Cambria Math"/>
                        <w:i/>
                        <w:color w:val="0000FF"/>
                      </w:rPr>
                    </m:ctrlPr>
                  </m:fPr>
                  <m:num>
                    <m:r>
                      <m:rPr>
                        <m:nor/>
                      </m:rPr>
                      <w:rPr>
                        <w:color w:val="0000FF"/>
                      </w:rPr>
                      <m:t>m</m:t>
                    </m:r>
                  </m:num>
                  <m:den>
                    <m:r>
                      <m:rPr>
                        <m:nor/>
                      </m:rPr>
                      <w:rPr>
                        <w:color w:val="0000FF"/>
                      </w:rPr>
                      <m:t>12</m:t>
                    </m:r>
                  </m:den>
                </m:f>
                <m:r>
                  <m:rPr>
                    <m:nor/>
                  </m:rPr>
                  <w:rPr>
                    <w:rFonts w:ascii="Cambria Math" w:hAnsi="Cambria Math"/>
                    <w:color w:val="0000FF"/>
                  </w:rPr>
                  <m:t xml:space="preserve"> × </m:t>
                </m:r>
                <m:f>
                  <m:fPr>
                    <m:ctrlPr>
                      <w:rPr>
                        <w:rFonts w:ascii="Cambria Math" w:hAnsi="Cambria Math"/>
                        <w:i/>
                        <w:color w:val="0000FF"/>
                      </w:rPr>
                    </m:ctrlPr>
                  </m:fPr>
                  <m:num>
                    <m:r>
                      <m:rPr>
                        <m:nor/>
                      </m:rPr>
                      <w:rPr>
                        <w:color w:val="0000FF"/>
                      </w:rPr>
                      <m:t>c</m:t>
                    </m:r>
                  </m:num>
                  <m:den>
                    <m:r>
                      <m:rPr>
                        <m:nor/>
                      </m:rPr>
                      <w:rPr>
                        <w:color w:val="0000FF"/>
                      </w:rPr>
                      <m:t>5</m:t>
                    </m:r>
                  </m:den>
                </m:f>
                <m:r>
                  <m:rPr>
                    <m:nor/>
                  </m:rPr>
                  <w:rPr>
                    <w:rFonts w:ascii="Cambria Math" w:hAnsi="Cambria Math"/>
                    <w:color w:val="0000FF"/>
                  </w:rPr>
                  <m:t xml:space="preserve"> × </m:t>
                </m:r>
                <m:f>
                  <m:fPr>
                    <m:ctrlPr>
                      <w:rPr>
                        <w:rFonts w:ascii="Cambria Math" w:hAnsi="Cambria Math"/>
                        <w:i/>
                        <w:color w:val="0000FF"/>
                      </w:rPr>
                    </m:ctrlPr>
                  </m:fPr>
                  <m:num>
                    <m:r>
                      <m:rPr>
                        <m:nor/>
                      </m:rPr>
                      <w:rPr>
                        <w:color w:val="0000FF"/>
                      </w:rPr>
                      <m:t>20</m:t>
                    </m:r>
                  </m:num>
                  <m:den>
                    <m:r>
                      <m:rPr>
                        <m:nor/>
                      </m:rPr>
                      <w:rPr>
                        <w:color w:val="0000FF"/>
                      </w:rPr>
                      <m:t>100</m:t>
                    </m:r>
                  </m:den>
                </m:f>
              </m:oMath>
            </m:oMathPara>
          </w:p>
          <w:p w:rsidR="00EF4EC1" w:rsidRPr="00E331FB" w:rsidRDefault="00EF4EC1" w:rsidP="00EF4EC1">
            <w:pPr>
              <w:pStyle w:val="Slide3"/>
              <w:rPr>
                <w:color w:val="0000FF"/>
              </w:rPr>
            </w:pPr>
            <w:r w:rsidRPr="00E331FB">
              <w:rPr>
                <w:color w:val="0000FF"/>
              </w:rPr>
              <w:t>where:</w:t>
            </w:r>
            <w:r>
              <w:rPr>
                <w:noProof/>
                <w:snapToGrid/>
                <w:color w:val="0000FF"/>
                <w:lang w:eastAsia="en-NZ"/>
              </w:rPr>
              <w:t xml:space="preserve"> </w:t>
            </w:r>
          </w:p>
          <w:p w:rsidR="00EF4EC1" w:rsidRPr="00172784" w:rsidRDefault="00EF4EC1" w:rsidP="00EF4EC1">
            <w:pPr>
              <w:pStyle w:val="Slide3"/>
              <w:rPr>
                <w:color w:val="0000FF"/>
              </w:rPr>
            </w:pPr>
            <w:r w:rsidRPr="00C91EFA">
              <w:rPr>
                <w:color w:val="FF0000"/>
              </w:rPr>
              <w:t>b</w:t>
            </w:r>
            <w:r w:rsidRPr="00172784">
              <w:rPr>
                <w:color w:val="0000FF"/>
              </w:rPr>
              <w:tab/>
              <w:t>=</w:t>
            </w:r>
            <w:r w:rsidRPr="00172784">
              <w:rPr>
                <w:color w:val="0000FF"/>
              </w:rPr>
              <w:tab/>
              <w:t>amount of</w:t>
            </w:r>
            <w:r w:rsidRPr="00C91EFA">
              <w:rPr>
                <w:color w:val="FF0000"/>
              </w:rPr>
              <w:t xml:space="preserve"> benefit</w:t>
            </w:r>
          </w:p>
          <w:p w:rsidR="00EF4EC1" w:rsidRPr="00172784" w:rsidRDefault="00EF4EC1" w:rsidP="00EF4EC1">
            <w:pPr>
              <w:pStyle w:val="Slide3"/>
              <w:rPr>
                <w:color w:val="0000FF"/>
              </w:rPr>
            </w:pPr>
            <w:r w:rsidRPr="00C91EFA">
              <w:rPr>
                <w:color w:val="FF0000"/>
              </w:rPr>
              <w:lastRenderedPageBreak/>
              <w:t>r</w:t>
            </w:r>
            <w:r w:rsidRPr="00172784">
              <w:rPr>
                <w:bCs/>
                <w:color w:val="0000FF"/>
              </w:rPr>
              <w:tab/>
              <w:t>=</w:t>
            </w:r>
            <w:r w:rsidRPr="00172784">
              <w:rPr>
                <w:bCs/>
                <w:color w:val="0000FF"/>
              </w:rPr>
              <w:tab/>
            </w:r>
            <w:r w:rsidRPr="00172784">
              <w:rPr>
                <w:color w:val="0000FF"/>
              </w:rPr>
              <w:t xml:space="preserve">Member’s final </w:t>
            </w:r>
            <w:r w:rsidRPr="00C91EFA">
              <w:rPr>
                <w:color w:val="FF0000"/>
              </w:rPr>
              <w:t>remuneration</w:t>
            </w:r>
          </w:p>
          <w:p w:rsidR="00EF4EC1" w:rsidRPr="00172784" w:rsidRDefault="00EF4EC1" w:rsidP="00EF4EC1">
            <w:pPr>
              <w:pStyle w:val="Slide3"/>
              <w:rPr>
                <w:color w:val="0000FF"/>
              </w:rPr>
            </w:pPr>
            <w:r w:rsidRPr="00C91EFA">
              <w:rPr>
                <w:color w:val="FF0000"/>
              </w:rPr>
              <w:t>m</w:t>
            </w:r>
            <w:r w:rsidRPr="00172784">
              <w:rPr>
                <w:bCs/>
                <w:color w:val="0000FF"/>
              </w:rPr>
              <w:tab/>
              <w:t>=</w:t>
            </w:r>
            <w:r w:rsidRPr="00172784">
              <w:rPr>
                <w:bCs/>
                <w:color w:val="0000FF"/>
              </w:rPr>
              <w:tab/>
            </w:r>
            <w:r w:rsidRPr="00172784">
              <w:rPr>
                <w:color w:val="0000FF"/>
              </w:rPr>
              <w:t xml:space="preserve">number of complete months in the Member’s </w:t>
            </w:r>
            <w:r w:rsidRPr="00C91EFA">
              <w:rPr>
                <w:color w:val="FF0000"/>
              </w:rPr>
              <w:t>membership</w:t>
            </w:r>
            <w:r w:rsidRPr="00172784">
              <w:rPr>
                <w:color w:val="0000FF"/>
              </w:rPr>
              <w:t xml:space="preserve"> period</w:t>
            </w:r>
          </w:p>
          <w:p w:rsidR="00EF4EC1" w:rsidRPr="00E331FB" w:rsidRDefault="00EF4EC1" w:rsidP="00EF4EC1">
            <w:pPr>
              <w:pStyle w:val="Slide3"/>
              <w:rPr>
                <w:color w:val="0000FF"/>
              </w:rPr>
            </w:pPr>
            <w:r w:rsidRPr="00C91EFA">
              <w:rPr>
                <w:color w:val="FF0000"/>
              </w:rPr>
              <w:t>c</w:t>
            </w:r>
            <w:r w:rsidRPr="00172784">
              <w:rPr>
                <w:bCs/>
                <w:color w:val="0000FF"/>
              </w:rPr>
              <w:tab/>
              <w:t>=</w:t>
            </w:r>
            <w:r w:rsidRPr="00172784">
              <w:rPr>
                <w:bCs/>
                <w:color w:val="0000FF"/>
              </w:rPr>
              <w:tab/>
            </w:r>
            <w:r w:rsidRPr="00172784">
              <w:rPr>
                <w:color w:val="0000FF"/>
              </w:rPr>
              <w:t xml:space="preserve">Member’s average </w:t>
            </w:r>
            <w:r w:rsidRPr="00C91EFA">
              <w:rPr>
                <w:color w:val="FF0000"/>
              </w:rPr>
              <w:t>contribution</w:t>
            </w:r>
            <w:r w:rsidRPr="00172784">
              <w:rPr>
                <w:bCs/>
                <w:color w:val="0000FF"/>
              </w:rPr>
              <w:t xml:space="preserve"> rate</w:t>
            </w:r>
            <w:r w:rsidRPr="00172784">
              <w:rPr>
                <w:color w:val="0000FF"/>
              </w:rPr>
              <w:t>.</w:t>
            </w:r>
          </w:p>
        </w:tc>
      </w:tr>
    </w:tbl>
    <w:p w:rsidR="00EF4EC1" w:rsidRPr="007D7133" w:rsidRDefault="00EF4EC1" w:rsidP="00EF4EC1">
      <w:pPr>
        <w:pStyle w:val="Normaltext1"/>
      </w:pPr>
      <w:r w:rsidRPr="007D7133">
        <w:lastRenderedPageBreak/>
        <w:t>It is a convention of mathematics to use only one letter as a variable. This is not an unbreakable rule but, as with the rules of grammar, adhering to the conventions reduces the risk of being misunderstood.</w:t>
      </w:r>
    </w:p>
    <w:p w:rsidR="00EF4EC1" w:rsidRPr="007D7133" w:rsidRDefault="00EF4EC1" w:rsidP="00EF4EC1">
      <w:pPr>
        <w:pStyle w:val="Normaltext1"/>
      </w:pPr>
      <w:r w:rsidRPr="007D7133">
        <w:t>And as with the rules of grammar, there are usually reasons for conventions. In this case, while 2 or 3 letters, or a letter and number, may seem helpful, it can be confused with multiplication or exponents. The formula in example 27 is particularly confusing because it</w:t>
      </w:r>
      <w:r>
        <w:t xml:space="preserve"> </w:t>
      </w:r>
      <w:r w:rsidRPr="007D7133">
        <w:t>uses multi</w:t>
      </w:r>
      <w:r>
        <w:noBreakHyphen/>
      </w:r>
      <w:r w:rsidRPr="007D7133">
        <w:t>letter variables and relies on the mathematical convention of not using multiplication signs. There are several alternative formulae that are likely to be less confusing.</w:t>
      </w:r>
    </w:p>
    <w:p w:rsidR="00EF4EC1" w:rsidRPr="00C80BD9" w:rsidRDefault="00EF4EC1" w:rsidP="00EF4EC1">
      <w:pPr>
        <w:pStyle w:val="Slidelabel"/>
      </w:pPr>
      <w:bookmarkStart w:id="166" w:name="_Ref475697286"/>
      <w:r w:rsidRPr="00C80BD9">
        <w:t>Confusing use of multi</w:t>
      </w:r>
      <w:r>
        <w:noBreakHyphen/>
      </w:r>
      <w:r w:rsidRPr="00C80BD9">
        <w:t>letter variables</w:t>
      </w:r>
      <w:bookmarkEnd w:id="166"/>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1"/>
              <w:keepNext w:val="0"/>
              <w:rPr>
                <w:color w:val="0000FF"/>
              </w:rPr>
            </w:pPr>
            <w:r w:rsidRPr="00E331FB">
              <w:rPr>
                <w:color w:val="0000FF"/>
              </w:rPr>
              <w:t>17</w:t>
            </w:r>
            <w:r w:rsidRPr="00E331FB">
              <w:rPr>
                <w:color w:val="0000FF"/>
              </w:rPr>
              <w:tab/>
              <w:t>Definitions</w:t>
            </w:r>
          </w:p>
          <w:p w:rsidR="00EF4EC1" w:rsidRPr="00E331FB" w:rsidRDefault="00EF4EC1" w:rsidP="00EF4EC1">
            <w:pPr>
              <w:pStyle w:val="Slide2"/>
              <w:rPr>
                <w:color w:val="0000FF"/>
              </w:rPr>
            </w:pPr>
            <w:r w:rsidRPr="00E331FB">
              <w:rPr>
                <w:color w:val="0000FF"/>
              </w:rPr>
              <w:tab/>
              <w:t>In this subdivision:</w:t>
            </w:r>
          </w:p>
          <w:p w:rsidR="00EF4EC1" w:rsidRPr="00E331FB" w:rsidRDefault="00EF4EC1" w:rsidP="00EF4EC1">
            <w:pPr>
              <w:pStyle w:val="Slide2"/>
              <w:rPr>
                <w:color w:val="0000FF"/>
              </w:rPr>
            </w:pPr>
            <w:r w:rsidRPr="00E331FB">
              <w:rPr>
                <w:color w:val="0000FF"/>
              </w:rPr>
              <w:tab/>
            </w:r>
            <w:r w:rsidRPr="00E331FB">
              <w:rPr>
                <w:b/>
                <w:color w:val="0000FF"/>
              </w:rPr>
              <w:t>actual periodic deduction</w:t>
            </w:r>
            <w:r w:rsidRPr="00E331FB">
              <w:rPr>
                <w:color w:val="0000FF"/>
              </w:rPr>
              <w:t>, for the employer for a periodic return period, means the greater of zero and the amount worked out using the following formula:</w:t>
            </w:r>
          </w:p>
          <w:p w:rsidR="00EF4EC1" w:rsidRPr="00E331FB" w:rsidRDefault="00EF4EC1" w:rsidP="00EF4EC1">
            <w:pPr>
              <w:pStyle w:val="SlideEquation"/>
              <w:rPr>
                <w:color w:val="0000FF"/>
                <w:oMath/>
              </w:rPr>
            </w:pPr>
            <m:oMathPara>
              <m:oMathParaPr>
                <m:jc m:val="left"/>
              </m:oMathParaPr>
              <m:oMath>
                <m:r>
                  <m:rPr>
                    <m:nor/>
                  </m:rPr>
                  <w:rPr>
                    <w:color w:val="0000FF"/>
                  </w:rPr>
                  <m:t>apd</m:t>
                </m:r>
                <m:r>
                  <m:rPr>
                    <m:nor/>
                  </m:rPr>
                  <w:rPr>
                    <w:rFonts w:ascii="Cambria Math"/>
                    <w:color w:val="0000FF"/>
                  </w:rPr>
                  <m:t xml:space="preserve"> = </m:t>
                </m:r>
                <m:f>
                  <m:fPr>
                    <m:ctrlPr>
                      <w:rPr>
                        <w:rFonts w:ascii="Cambria Math" w:hAnsi="Cambria Math"/>
                        <w:i/>
                        <w:color w:val="0000FF"/>
                      </w:rPr>
                    </m:ctrlPr>
                  </m:fPr>
                  <m:num>
                    <m:r>
                      <m:rPr>
                        <m:nor/>
                      </m:rPr>
                      <w:rPr>
                        <w:color w:val="0000FF"/>
                      </w:rPr>
                      <m:t>fme</m:t>
                    </m:r>
                  </m:num>
                  <m:den>
                    <m:r>
                      <m:rPr>
                        <m:nor/>
                      </m:rPr>
                      <w:rPr>
                        <w:color w:val="0000FF"/>
                      </w:rPr>
                      <m:t>g</m:t>
                    </m:r>
                  </m:den>
                </m:f>
                <m:r>
                  <m:rPr>
                    <m:sty m:val="p"/>
                  </m:rPr>
                  <w:rPr>
                    <w:rFonts w:ascii="Cambria Math" w:hAnsi="Cambria Math"/>
                    <w:color w:val="0000FF"/>
                  </w:rPr>
                  <m:t>-</m:t>
                </m:r>
                <m:f>
                  <m:fPr>
                    <m:ctrlPr>
                      <w:rPr>
                        <w:rFonts w:ascii="Cambria Math" w:hAnsi="Cambria Math"/>
                        <w:i/>
                        <w:color w:val="0000FF"/>
                      </w:rPr>
                    </m:ctrlPr>
                  </m:fPr>
                  <m:num>
                    <m:r>
                      <m:rPr>
                        <m:nor/>
                      </m:rPr>
                      <w:rPr>
                        <w:color w:val="0000FF"/>
                      </w:rPr>
                      <m:t>1</m:t>
                    </m:r>
                  </m:num>
                  <m:den>
                    <m:r>
                      <m:rPr>
                        <m:nor/>
                      </m:rPr>
                      <w:rPr>
                        <w:color w:val="0000FF"/>
                      </w:rPr>
                      <m:t>4</m:t>
                    </m:r>
                  </m:den>
                </m:f>
                <m:d>
                  <m:dPr>
                    <m:ctrlPr>
                      <w:rPr>
                        <w:rFonts w:ascii="Cambria Math" w:hAnsi="Cambria Math"/>
                        <w:i/>
                        <w:color w:val="0000FF"/>
                      </w:rPr>
                    </m:ctrlPr>
                  </m:dPr>
                  <m:e>
                    <m:r>
                      <m:rPr>
                        <m:nor/>
                      </m:rPr>
                      <w:rPr>
                        <w:color w:val="0000FF"/>
                      </w:rPr>
                      <m:t>tw</m:t>
                    </m:r>
                    <m:r>
                      <m:rPr>
                        <m:sty m:val="p"/>
                      </m:rPr>
                      <w:rPr>
                        <w:rFonts w:ascii="Cambria Math" w:hAnsi="Cambria Math"/>
                        <w:color w:val="0000FF"/>
                      </w:rPr>
                      <m:t>-</m:t>
                    </m:r>
                    <m:f>
                      <m:fPr>
                        <m:ctrlPr>
                          <w:rPr>
                            <w:rFonts w:ascii="Cambria Math" w:hAnsi="Cambria Math"/>
                            <w:i/>
                            <w:color w:val="0000FF"/>
                          </w:rPr>
                        </m:ctrlPr>
                      </m:fPr>
                      <m:num>
                        <m:r>
                          <m:rPr>
                            <m:nor/>
                          </m:rPr>
                          <w:rPr>
                            <w:color w:val="0000FF"/>
                          </w:rPr>
                          <m:t>fme</m:t>
                        </m:r>
                      </m:num>
                      <m:den>
                        <m:r>
                          <m:rPr>
                            <m:nor/>
                          </m:rPr>
                          <w:rPr>
                            <w:color w:val="0000FF"/>
                          </w:rPr>
                          <m:t>g</m:t>
                        </m:r>
                      </m:den>
                    </m:f>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apd</w:t>
            </w:r>
            <w:r w:rsidRPr="00E331FB">
              <w:rPr>
                <w:bCs/>
                <w:color w:val="0000FF"/>
              </w:rPr>
              <w:tab/>
              <w:t>=</w:t>
            </w:r>
            <w:r w:rsidRPr="00E331FB">
              <w:rPr>
                <w:bCs/>
                <w:color w:val="0000FF"/>
              </w:rPr>
              <w:tab/>
            </w:r>
            <w:r w:rsidRPr="00E331FB">
              <w:rPr>
                <w:color w:val="0000FF"/>
              </w:rPr>
              <w:t>actual periodic deduction in dollars</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f</w:t>
            </w:r>
            <w:r w:rsidRPr="00E331FB">
              <w:rPr>
                <w:bCs/>
                <w:color w:val="0000FF"/>
              </w:rPr>
              <w:tab/>
              <w:t>=</w:t>
            </w:r>
            <w:r w:rsidRPr="00E331FB">
              <w:rPr>
                <w:bCs/>
                <w:color w:val="0000FF"/>
              </w:rPr>
              <w:tab/>
            </w:r>
            <w:r w:rsidRPr="00E331FB">
              <w:rPr>
                <w:color w:val="0000FF"/>
              </w:rPr>
              <w:t>number of days in the period for which the employer pays, or is liable to pay, taxable wages</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m</w:t>
            </w:r>
            <w:r w:rsidRPr="00E331FB">
              <w:rPr>
                <w:bCs/>
                <w:color w:val="0000FF"/>
              </w:rPr>
              <w:tab/>
              <w:t>=</w:t>
            </w:r>
            <w:r w:rsidRPr="00E331FB">
              <w:rPr>
                <w:bCs/>
                <w:color w:val="0000FF"/>
              </w:rPr>
              <w:tab/>
            </w:r>
            <w:r w:rsidRPr="00E331FB">
              <w:rPr>
                <w:color w:val="0000FF"/>
              </w:rPr>
              <w:t>number of months in the period</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e</w:t>
            </w:r>
            <w:r w:rsidRPr="00E331FB">
              <w:rPr>
                <w:bCs/>
                <w:color w:val="0000FF"/>
              </w:rPr>
              <w:tab/>
              <w:t>=</w:t>
            </w:r>
            <w:r w:rsidRPr="00E331FB">
              <w:rPr>
                <w:bCs/>
                <w:color w:val="0000FF"/>
              </w:rPr>
              <w:tab/>
            </w:r>
            <w:r w:rsidRPr="00E331FB">
              <w:rPr>
                <w:color w:val="0000FF"/>
              </w:rPr>
              <w:t>(maximum deduction per month) 8 500</w:t>
            </w:r>
          </w:p>
          <w:p w:rsidR="00EF4EC1" w:rsidRPr="00E331FB" w:rsidRDefault="00EF4EC1" w:rsidP="00EF4EC1">
            <w:pPr>
              <w:pStyle w:val="Slide3"/>
              <w:tabs>
                <w:tab w:val="clear" w:pos="1021"/>
                <w:tab w:val="right" w:pos="1134"/>
              </w:tabs>
              <w:ind w:left="1276" w:hanging="709"/>
              <w:rPr>
                <w:color w:val="0000FF"/>
              </w:rPr>
            </w:pPr>
            <w:r w:rsidRPr="00E331FB">
              <w:rPr>
                <w:color w:val="0000FF"/>
              </w:rPr>
              <w:t>g</w:t>
            </w:r>
            <w:r w:rsidRPr="00E331FB">
              <w:rPr>
                <w:bCs/>
                <w:color w:val="0000FF"/>
              </w:rPr>
              <w:tab/>
              <w:t>=</w:t>
            </w:r>
            <w:r w:rsidRPr="00E331FB">
              <w:rPr>
                <w:bCs/>
                <w:color w:val="0000FF"/>
              </w:rPr>
              <w:tab/>
            </w:r>
            <w:r w:rsidRPr="00E331FB">
              <w:rPr>
                <w:color w:val="0000FF"/>
              </w:rPr>
              <w:t>total number of days in the period</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tw</w:t>
            </w:r>
            <w:r w:rsidRPr="00E331FB">
              <w:rPr>
                <w:bCs/>
                <w:color w:val="0000FF"/>
              </w:rPr>
              <w:tab/>
              <w:t>=</w:t>
            </w:r>
            <w:r w:rsidRPr="00E331FB">
              <w:rPr>
                <w:bCs/>
                <w:color w:val="0000FF"/>
              </w:rPr>
              <w:tab/>
            </w:r>
            <w:r w:rsidRPr="00E331FB">
              <w:rPr>
                <w:color w:val="0000FF"/>
              </w:rPr>
              <w:t>amount of taxable wages paid or payable in the period.</w:t>
            </w:r>
          </w:p>
        </w:tc>
      </w:tr>
      <w:tr w:rsidR="00EF4EC1" w:rsidRPr="00C80BD9" w:rsidTr="00EF4EC1">
        <w:tc>
          <w:tcPr>
            <w:tcW w:w="8505" w:type="dxa"/>
            <w:shd w:val="clear" w:color="auto" w:fill="FFFFFF"/>
          </w:tcPr>
          <w:p w:rsidR="00EF4EC1" w:rsidRPr="00E331FB" w:rsidRDefault="00EF4EC1" w:rsidP="00EF4EC1">
            <w:pPr>
              <w:pStyle w:val="Slide2"/>
              <w:keepNext/>
              <w:rPr>
                <w:b/>
                <w:i/>
                <w:color w:val="0000FF"/>
              </w:rPr>
            </w:pPr>
            <w:r w:rsidRPr="00E331FB">
              <w:rPr>
                <w:b/>
                <w:i/>
                <w:color w:val="0000FF"/>
              </w:rPr>
              <w:lastRenderedPageBreak/>
              <w:t>Alternative formulae</w:t>
            </w:r>
          </w:p>
          <w:p w:rsidR="00EF4EC1" w:rsidRPr="00E331FB" w:rsidRDefault="00EF4EC1" w:rsidP="00EF4EC1">
            <w:pPr>
              <w:pStyle w:val="Slide2"/>
              <w:rPr>
                <w:i/>
                <w:color w:val="0000FF"/>
              </w:rPr>
            </w:pPr>
            <w:r w:rsidRPr="00E331FB">
              <w:rPr>
                <w:i/>
                <w:color w:val="0000FF"/>
              </w:rPr>
              <w:t>Same variables but with multiplication signs:</w:t>
            </w:r>
          </w:p>
          <w:p w:rsidR="00EF4EC1" w:rsidRPr="00E331FB" w:rsidRDefault="00EF4EC1" w:rsidP="00EF4EC1">
            <w:pPr>
              <w:pStyle w:val="SlideEquation"/>
              <w:rPr>
                <w:color w:val="0000FF"/>
                <w:oMath/>
              </w:rPr>
            </w:pPr>
            <m:oMathPara>
              <m:oMathParaPr>
                <m:jc m:val="left"/>
              </m:oMathParaPr>
              <m:oMath>
                <m:r>
                  <m:rPr>
                    <m:nor/>
                  </m:rPr>
                  <w:rPr>
                    <w:color w:val="0000FF"/>
                  </w:rPr>
                  <m:t>apd</m:t>
                </m:r>
                <m:r>
                  <m:rPr>
                    <m:nor/>
                  </m:rPr>
                  <w:rPr>
                    <w:rFonts w:ascii="Cambria Math"/>
                    <w:color w:val="0000FF"/>
                  </w:rPr>
                  <m:t xml:space="preserve"> = </m:t>
                </m:r>
                <m:f>
                  <m:fPr>
                    <m:ctrlPr>
                      <w:rPr>
                        <w:rFonts w:ascii="Cambria Math" w:hAnsi="Cambria Math"/>
                        <w:i/>
                        <w:color w:val="0000FF"/>
                      </w:rPr>
                    </m:ctrlPr>
                  </m:fPr>
                  <m:num>
                    <m:r>
                      <m:rPr>
                        <m:nor/>
                      </m:rPr>
                      <w:rPr>
                        <w:color w:val="0000FF"/>
                      </w:rPr>
                      <m:t>f</m:t>
                    </m:r>
                    <m:r>
                      <m:rPr>
                        <m:nor/>
                      </m:rPr>
                      <w:rPr>
                        <w:rFonts w:ascii="Cambria Math"/>
                        <w:color w:val="0000FF"/>
                      </w:rPr>
                      <m:t xml:space="preserve"> </m:t>
                    </m:r>
                    <m:r>
                      <m:rPr>
                        <m:nor/>
                      </m:rPr>
                      <w:rPr>
                        <w:rFonts w:ascii="Cambria Math" w:hAnsi="Cambria Math"/>
                        <w:color w:val="0000FF"/>
                      </w:rPr>
                      <m:t xml:space="preserve">× </m:t>
                    </m:r>
                    <m:r>
                      <m:rPr>
                        <m:nor/>
                      </m:rPr>
                      <w:rPr>
                        <w:color w:val="0000FF"/>
                      </w:rPr>
                      <m:t>m</m:t>
                    </m:r>
                    <m:r>
                      <m:rPr>
                        <m:nor/>
                      </m:rPr>
                      <w:rPr>
                        <w:rFonts w:ascii="Cambria Math"/>
                        <w:color w:val="0000FF"/>
                      </w:rPr>
                      <m:t xml:space="preserve"> </m:t>
                    </m:r>
                    <m:r>
                      <m:rPr>
                        <m:nor/>
                      </m:rPr>
                      <w:rPr>
                        <w:rFonts w:ascii="Cambria Math" w:hAnsi="Cambria Math"/>
                        <w:color w:val="0000FF"/>
                      </w:rPr>
                      <m:t xml:space="preserve">× </m:t>
                    </m:r>
                    <m:r>
                      <m:rPr>
                        <m:nor/>
                      </m:rPr>
                      <w:rPr>
                        <w:color w:val="0000FF"/>
                      </w:rPr>
                      <m:t>e</m:t>
                    </m:r>
                  </m:num>
                  <m:den>
                    <m:r>
                      <m:rPr>
                        <m:nor/>
                      </m:rPr>
                      <w:rPr>
                        <w:color w:val="0000FF"/>
                      </w:rPr>
                      <m:t>g</m:t>
                    </m:r>
                  </m:den>
                </m:f>
                <m:r>
                  <m:rPr>
                    <m:sty m:val="p"/>
                  </m:rPr>
                  <w:rPr>
                    <w:rFonts w:ascii="Cambria Math" w:hAnsi="Cambria Math"/>
                    <w:color w:val="0000FF"/>
                  </w:rPr>
                  <m:t>-</m:t>
                </m:r>
                <m:f>
                  <m:fPr>
                    <m:ctrlPr>
                      <w:rPr>
                        <w:rFonts w:ascii="Cambria Math" w:hAnsi="Cambria Math"/>
                        <w:i/>
                        <w:color w:val="0000FF"/>
                      </w:rPr>
                    </m:ctrlPr>
                  </m:fPr>
                  <m:num>
                    <m:r>
                      <m:rPr>
                        <m:nor/>
                      </m:rPr>
                      <w:rPr>
                        <w:color w:val="0000FF"/>
                      </w:rPr>
                      <m:t>1</m:t>
                    </m:r>
                  </m:num>
                  <m:den>
                    <m:r>
                      <m:rPr>
                        <m:nor/>
                      </m:rPr>
                      <w:rPr>
                        <w:color w:val="0000FF"/>
                      </w:rPr>
                      <m:t>4</m:t>
                    </m:r>
                  </m:den>
                </m:f>
                <m:d>
                  <m:dPr>
                    <m:ctrlPr>
                      <w:rPr>
                        <w:rFonts w:ascii="Cambria Math" w:hAnsi="Cambria Math"/>
                        <w:i/>
                        <w:color w:val="0000FF"/>
                      </w:rPr>
                    </m:ctrlPr>
                  </m:dPr>
                  <m:e>
                    <m:r>
                      <m:rPr>
                        <m:nor/>
                      </m:rPr>
                      <w:rPr>
                        <w:color w:val="0000FF"/>
                      </w:rPr>
                      <m:t>tw</m:t>
                    </m:r>
                    <m:r>
                      <m:rPr>
                        <m:sty m:val="p"/>
                      </m:rPr>
                      <w:rPr>
                        <w:rFonts w:ascii="Cambria Math" w:hAnsi="Cambria Math"/>
                        <w:color w:val="0000FF"/>
                      </w:rPr>
                      <m:t>-</m:t>
                    </m:r>
                    <m:f>
                      <m:fPr>
                        <m:ctrlPr>
                          <w:rPr>
                            <w:rFonts w:ascii="Cambria Math" w:hAnsi="Cambria Math"/>
                            <w:i/>
                            <w:color w:val="0000FF"/>
                          </w:rPr>
                        </m:ctrlPr>
                      </m:fPr>
                      <m:num>
                        <m:r>
                          <m:rPr>
                            <m:nor/>
                          </m:rPr>
                          <w:rPr>
                            <w:color w:val="0000FF"/>
                          </w:rPr>
                          <m:t>f</m:t>
                        </m:r>
                        <m:r>
                          <m:rPr>
                            <m:nor/>
                          </m:rPr>
                          <w:rPr>
                            <w:rFonts w:ascii="Cambria Math"/>
                            <w:color w:val="0000FF"/>
                          </w:rPr>
                          <m:t xml:space="preserve"> </m:t>
                        </m:r>
                        <m:r>
                          <m:rPr>
                            <m:nor/>
                          </m:rPr>
                          <w:rPr>
                            <w:rFonts w:ascii="Cambria Math" w:hAnsi="Cambria Math"/>
                            <w:color w:val="0000FF"/>
                          </w:rPr>
                          <m:t xml:space="preserve">× </m:t>
                        </m:r>
                        <m:r>
                          <m:rPr>
                            <m:nor/>
                          </m:rPr>
                          <w:rPr>
                            <w:color w:val="0000FF"/>
                          </w:rPr>
                          <m:t>m</m:t>
                        </m:r>
                        <m:r>
                          <m:rPr>
                            <m:nor/>
                          </m:rPr>
                          <w:rPr>
                            <w:rFonts w:ascii="Cambria Math"/>
                            <w:color w:val="0000FF"/>
                          </w:rPr>
                          <m:t xml:space="preserve"> </m:t>
                        </m:r>
                        <m:r>
                          <m:rPr>
                            <m:nor/>
                          </m:rPr>
                          <w:rPr>
                            <w:rFonts w:ascii="Cambria Math" w:hAnsi="Cambria Math"/>
                            <w:color w:val="0000FF"/>
                          </w:rPr>
                          <m:t xml:space="preserve">× </m:t>
                        </m:r>
                        <m:r>
                          <m:rPr>
                            <m:nor/>
                          </m:rPr>
                          <w:rPr>
                            <w:color w:val="0000FF"/>
                          </w:rPr>
                          <m:t>e</m:t>
                        </m:r>
                      </m:num>
                      <m:den>
                        <m:r>
                          <m:rPr>
                            <m:nor/>
                          </m:rPr>
                          <w:rPr>
                            <w:color w:val="0000FF"/>
                          </w:rPr>
                          <m:t>g</m:t>
                        </m:r>
                      </m:den>
                    </m:f>
                  </m:e>
                </m:d>
              </m:oMath>
            </m:oMathPara>
          </w:p>
          <w:p w:rsidR="00EF4EC1" w:rsidRPr="00E331FB" w:rsidRDefault="00EF4EC1" w:rsidP="00EF4EC1">
            <w:pPr>
              <w:pStyle w:val="Slide2"/>
              <w:rPr>
                <w:i/>
                <w:color w:val="0000FF"/>
              </w:rPr>
            </w:pPr>
            <w:r w:rsidRPr="00E331FB">
              <w:rPr>
                <w:i/>
                <w:color w:val="0000FF"/>
              </w:rPr>
              <w:t>Single letter variables:</w:t>
            </w:r>
          </w:p>
          <w:p w:rsidR="00EF4EC1" w:rsidRPr="00E331FB" w:rsidRDefault="00EF4EC1" w:rsidP="00EF4EC1">
            <w:pPr>
              <w:pStyle w:val="SlideEquation"/>
              <w:rPr>
                <w:color w:val="0000FF"/>
                <w:oMath/>
              </w:rPr>
            </w:pPr>
            <m:oMathPara>
              <m:oMathParaPr>
                <m:jc m:val="left"/>
              </m:oMathParaPr>
              <m:oMath>
                <m:r>
                  <m:rPr>
                    <m:nor/>
                  </m:rPr>
                  <w:rPr>
                    <w:color w:val="0000FF"/>
                  </w:rPr>
                  <m:t>d</m:t>
                </m:r>
                <m:r>
                  <m:rPr>
                    <m:nor/>
                  </m:rPr>
                  <w:rPr>
                    <w:rFonts w:ascii="Cambria Math"/>
                    <w:color w:val="0000FF"/>
                  </w:rPr>
                  <m:t xml:space="preserve"> = </m:t>
                </m:r>
                <m:f>
                  <m:fPr>
                    <m:ctrlPr>
                      <w:rPr>
                        <w:rFonts w:ascii="Cambria Math" w:hAnsi="Cambria Math"/>
                        <w:i/>
                        <w:color w:val="0000FF"/>
                      </w:rPr>
                    </m:ctrlPr>
                  </m:fPr>
                  <m:num>
                    <m:r>
                      <m:rPr>
                        <m:nor/>
                      </m:rPr>
                      <w:rPr>
                        <w:color w:val="0000FF"/>
                      </w:rPr>
                      <m:t>f</m:t>
                    </m:r>
                    <m:r>
                      <m:rPr>
                        <m:nor/>
                      </m:rPr>
                      <w:rPr>
                        <w:rFonts w:ascii="Cambria Math"/>
                        <w:color w:val="0000FF"/>
                      </w:rPr>
                      <m:t xml:space="preserve"> </m:t>
                    </m:r>
                    <m:r>
                      <m:rPr>
                        <m:nor/>
                      </m:rPr>
                      <w:rPr>
                        <w:color w:val="0000FF"/>
                      </w:rPr>
                      <m:t>m</m:t>
                    </m:r>
                    <m:r>
                      <m:rPr>
                        <m:nor/>
                      </m:rPr>
                      <w:rPr>
                        <w:rFonts w:ascii="Cambria Math"/>
                        <w:color w:val="0000FF"/>
                      </w:rPr>
                      <m:t xml:space="preserve"> </m:t>
                    </m:r>
                    <m:r>
                      <m:rPr>
                        <m:nor/>
                      </m:rPr>
                      <w:rPr>
                        <w:color w:val="0000FF"/>
                      </w:rPr>
                      <m:t>e</m:t>
                    </m:r>
                  </m:num>
                  <m:den>
                    <m:r>
                      <m:rPr>
                        <m:nor/>
                      </m:rPr>
                      <w:rPr>
                        <w:color w:val="0000FF"/>
                      </w:rPr>
                      <m:t>g</m:t>
                    </m:r>
                  </m:den>
                </m:f>
                <m:r>
                  <m:rPr>
                    <m:sty m:val="p"/>
                  </m:rPr>
                  <w:rPr>
                    <w:rFonts w:ascii="Cambria Math" w:hAnsi="Cambria Math"/>
                    <w:color w:val="0000FF"/>
                  </w:rPr>
                  <m:t>-</m:t>
                </m:r>
                <m:f>
                  <m:fPr>
                    <m:ctrlPr>
                      <w:rPr>
                        <w:rFonts w:ascii="Cambria Math" w:hAnsi="Cambria Math"/>
                        <w:i/>
                        <w:color w:val="0000FF"/>
                      </w:rPr>
                    </m:ctrlPr>
                  </m:fPr>
                  <m:num>
                    <m:r>
                      <m:rPr>
                        <m:nor/>
                      </m:rPr>
                      <w:rPr>
                        <w:color w:val="0000FF"/>
                      </w:rPr>
                      <m:t>1</m:t>
                    </m:r>
                  </m:num>
                  <m:den>
                    <m:r>
                      <m:rPr>
                        <m:nor/>
                      </m:rPr>
                      <w:rPr>
                        <w:color w:val="0000FF"/>
                      </w:rPr>
                      <m:t>4</m:t>
                    </m:r>
                  </m:den>
                </m:f>
                <m:d>
                  <m:dPr>
                    <m:ctrlPr>
                      <w:rPr>
                        <w:rFonts w:ascii="Cambria Math" w:hAnsi="Cambria Math"/>
                        <w:i/>
                        <w:color w:val="0000FF"/>
                      </w:rPr>
                    </m:ctrlPr>
                  </m:dPr>
                  <m:e>
                    <m:r>
                      <m:rPr>
                        <m:nor/>
                      </m:rPr>
                      <w:rPr>
                        <w:color w:val="0000FF"/>
                      </w:rPr>
                      <m:t>w</m:t>
                    </m:r>
                    <m:r>
                      <m:rPr>
                        <m:sty m:val="p"/>
                      </m:rPr>
                      <w:rPr>
                        <w:rFonts w:ascii="Cambria Math" w:hAnsi="Cambria Math"/>
                        <w:color w:val="0000FF"/>
                      </w:rPr>
                      <m:t>-</m:t>
                    </m:r>
                    <m:f>
                      <m:fPr>
                        <m:ctrlPr>
                          <w:rPr>
                            <w:rFonts w:ascii="Cambria Math" w:hAnsi="Cambria Math"/>
                            <w:i/>
                            <w:color w:val="0000FF"/>
                          </w:rPr>
                        </m:ctrlPr>
                      </m:fPr>
                      <m:num>
                        <m:r>
                          <m:rPr>
                            <m:nor/>
                          </m:rPr>
                          <w:rPr>
                            <w:color w:val="0000FF"/>
                          </w:rPr>
                          <m:t>f</m:t>
                        </m:r>
                        <m:r>
                          <m:rPr>
                            <m:nor/>
                          </m:rPr>
                          <w:rPr>
                            <w:rFonts w:ascii="Cambria Math"/>
                            <w:color w:val="0000FF"/>
                          </w:rPr>
                          <m:t xml:space="preserve"> </m:t>
                        </m:r>
                        <m:r>
                          <m:rPr>
                            <m:nor/>
                          </m:rPr>
                          <w:rPr>
                            <w:color w:val="0000FF"/>
                          </w:rPr>
                          <m:t>m</m:t>
                        </m:r>
                        <m:r>
                          <m:rPr>
                            <m:nor/>
                          </m:rPr>
                          <w:rPr>
                            <w:rFonts w:ascii="Cambria Math"/>
                            <w:color w:val="0000FF"/>
                          </w:rPr>
                          <m:t xml:space="preserve"> </m:t>
                        </m:r>
                        <m:r>
                          <m:rPr>
                            <m:nor/>
                          </m:rPr>
                          <w:rPr>
                            <w:color w:val="0000FF"/>
                          </w:rPr>
                          <m:t>e</m:t>
                        </m:r>
                      </m:num>
                      <m:den>
                        <m:r>
                          <m:rPr>
                            <m:nor/>
                          </m:rPr>
                          <w:rPr>
                            <w:color w:val="0000FF"/>
                          </w:rPr>
                          <m:t>g</m:t>
                        </m:r>
                      </m:den>
                    </m:f>
                  </m:e>
                </m:d>
              </m:oMath>
            </m:oMathPara>
          </w:p>
          <w:p w:rsidR="00EF4EC1" w:rsidRPr="00E331FB" w:rsidRDefault="00EF4EC1" w:rsidP="00EF4EC1">
            <w:pPr>
              <w:pStyle w:val="Slide2"/>
              <w:rPr>
                <w:i/>
                <w:color w:val="0000FF"/>
              </w:rPr>
            </w:pPr>
            <w:r w:rsidRPr="00E331FB">
              <w:rPr>
                <w:i/>
                <w:color w:val="0000FF"/>
              </w:rPr>
              <w:t>Single letter variables and multiplication signs:</w:t>
            </w:r>
          </w:p>
          <w:p w:rsidR="00EF4EC1" w:rsidRPr="00E331FB" w:rsidRDefault="00EF4EC1" w:rsidP="00EF4EC1">
            <w:pPr>
              <w:pStyle w:val="SlideEquation"/>
              <w:rPr>
                <w:color w:val="0000FF"/>
              </w:rPr>
            </w:pPr>
            <m:oMathPara>
              <m:oMathParaPr>
                <m:jc m:val="left"/>
              </m:oMathParaPr>
              <m:oMath>
                <m:r>
                  <m:rPr>
                    <m:nor/>
                  </m:rPr>
                  <w:rPr>
                    <w:color w:val="0000FF"/>
                  </w:rPr>
                  <m:t>d</m:t>
                </m:r>
                <m:r>
                  <m:rPr>
                    <m:nor/>
                  </m:rPr>
                  <w:rPr>
                    <w:rFonts w:ascii="Cambria Math"/>
                    <w:color w:val="0000FF"/>
                  </w:rPr>
                  <m:t xml:space="preserve"> = </m:t>
                </m:r>
                <m:f>
                  <m:fPr>
                    <m:ctrlPr>
                      <w:rPr>
                        <w:rFonts w:ascii="Cambria Math" w:hAnsi="Cambria Math"/>
                        <w:i/>
                        <w:color w:val="0000FF"/>
                      </w:rPr>
                    </m:ctrlPr>
                  </m:fPr>
                  <m:num>
                    <m:r>
                      <m:rPr>
                        <m:nor/>
                      </m:rPr>
                      <w:rPr>
                        <w:color w:val="0000FF"/>
                      </w:rPr>
                      <m:t>f</m:t>
                    </m:r>
                    <m:r>
                      <m:rPr>
                        <m:nor/>
                      </m:rPr>
                      <w:rPr>
                        <w:rFonts w:ascii="Cambria Math"/>
                        <w:color w:val="0000FF"/>
                      </w:rPr>
                      <m:t xml:space="preserve"> </m:t>
                    </m:r>
                    <m:r>
                      <m:rPr>
                        <m:nor/>
                      </m:rPr>
                      <w:rPr>
                        <w:rFonts w:ascii="Cambria Math" w:hAnsi="Cambria Math"/>
                        <w:color w:val="0000FF"/>
                      </w:rPr>
                      <m:t>×</m:t>
                    </m:r>
                    <m:r>
                      <m:rPr>
                        <m:nor/>
                      </m:rPr>
                      <w:rPr>
                        <w:color w:val="0000FF"/>
                      </w:rPr>
                      <m:t xml:space="preserve"> m</m:t>
                    </m:r>
                    <m:r>
                      <m:rPr>
                        <m:nor/>
                      </m:rPr>
                      <w:rPr>
                        <w:rFonts w:ascii="Cambria Math"/>
                        <w:color w:val="0000FF"/>
                      </w:rPr>
                      <m:t xml:space="preserve"> </m:t>
                    </m:r>
                    <m:r>
                      <m:rPr>
                        <m:nor/>
                      </m:rPr>
                      <w:rPr>
                        <w:rFonts w:ascii="Cambria Math" w:hAnsi="Cambria Math"/>
                        <w:color w:val="0000FF"/>
                      </w:rPr>
                      <m:t xml:space="preserve">× </m:t>
                    </m:r>
                    <m:r>
                      <m:rPr>
                        <m:nor/>
                      </m:rPr>
                      <w:rPr>
                        <w:color w:val="0000FF"/>
                      </w:rPr>
                      <m:t>e</m:t>
                    </m:r>
                  </m:num>
                  <m:den>
                    <m:r>
                      <m:rPr>
                        <m:nor/>
                      </m:rPr>
                      <w:rPr>
                        <w:color w:val="0000FF"/>
                      </w:rPr>
                      <m:t>g</m:t>
                    </m:r>
                  </m:den>
                </m:f>
                <m:r>
                  <m:rPr>
                    <m:sty m:val="p"/>
                  </m:rPr>
                  <w:rPr>
                    <w:rFonts w:ascii="Cambria Math" w:hAnsi="Cambria Math"/>
                    <w:color w:val="0000FF"/>
                  </w:rPr>
                  <m:t>-</m:t>
                </m:r>
                <m:d>
                  <m:dPr>
                    <m:begChr m:val="["/>
                    <m:endChr m:val="]"/>
                    <m:ctrlPr>
                      <w:rPr>
                        <w:rFonts w:ascii="Cambria Math" w:hAnsi="Cambria Math"/>
                        <w:i/>
                        <w:color w:val="0000FF"/>
                      </w:rPr>
                    </m:ctrlPr>
                  </m:dPr>
                  <m:e>
                    <m:f>
                      <m:fPr>
                        <m:ctrlPr>
                          <w:rPr>
                            <w:rFonts w:ascii="Cambria Math" w:hAnsi="Cambria Math"/>
                            <w:i/>
                            <w:color w:val="0000FF"/>
                          </w:rPr>
                        </m:ctrlPr>
                      </m:fPr>
                      <m:num>
                        <m:r>
                          <m:rPr>
                            <m:nor/>
                          </m:rPr>
                          <w:rPr>
                            <w:color w:val="0000FF"/>
                          </w:rPr>
                          <m:t>1</m:t>
                        </m:r>
                      </m:num>
                      <m:den>
                        <m:r>
                          <m:rPr>
                            <m:nor/>
                          </m:rPr>
                          <w:rPr>
                            <w:color w:val="0000FF"/>
                          </w:rPr>
                          <m:t>4</m:t>
                        </m:r>
                      </m:den>
                    </m:f>
                    <m:r>
                      <m:rPr>
                        <m:nor/>
                      </m:rPr>
                      <w:rPr>
                        <w:rFonts w:ascii="Cambria Math" w:hAnsi="Cambria Math"/>
                        <w:color w:val="0000FF"/>
                      </w:rPr>
                      <m:t>×</m:t>
                    </m:r>
                    <m:d>
                      <m:dPr>
                        <m:ctrlPr>
                          <w:rPr>
                            <w:rFonts w:ascii="Cambria Math" w:hAnsi="Cambria Math"/>
                            <w:i/>
                            <w:color w:val="0000FF"/>
                          </w:rPr>
                        </m:ctrlPr>
                      </m:dPr>
                      <m:e>
                        <m:r>
                          <m:rPr>
                            <m:nor/>
                          </m:rPr>
                          <w:rPr>
                            <w:color w:val="0000FF"/>
                          </w:rPr>
                          <m:t>w</m:t>
                        </m:r>
                        <m:r>
                          <m:rPr>
                            <m:sty m:val="p"/>
                          </m:rPr>
                          <w:rPr>
                            <w:rFonts w:ascii="Cambria Math" w:hAnsi="Cambria Math"/>
                            <w:color w:val="0000FF"/>
                          </w:rPr>
                          <m:t>-</m:t>
                        </m:r>
                        <m:f>
                          <m:fPr>
                            <m:ctrlPr>
                              <w:rPr>
                                <w:rFonts w:ascii="Cambria Math" w:hAnsi="Cambria Math"/>
                                <w:i/>
                                <w:color w:val="0000FF"/>
                              </w:rPr>
                            </m:ctrlPr>
                          </m:fPr>
                          <m:num>
                            <m:r>
                              <m:rPr>
                                <m:nor/>
                              </m:rPr>
                              <w:rPr>
                                <w:color w:val="0000FF"/>
                              </w:rPr>
                              <m:t xml:space="preserve">f </m:t>
                            </m:r>
                            <m:r>
                              <m:rPr>
                                <m:nor/>
                              </m:rPr>
                              <w:rPr>
                                <w:rFonts w:ascii="Cambria Math" w:hAnsi="Cambria Math"/>
                                <w:color w:val="0000FF"/>
                              </w:rPr>
                              <m:t>×</m:t>
                            </m:r>
                            <m:r>
                              <m:rPr>
                                <m:nor/>
                              </m:rPr>
                              <w:rPr>
                                <w:color w:val="0000FF"/>
                              </w:rPr>
                              <m:t xml:space="preserve"> m</m:t>
                            </m:r>
                            <m:r>
                              <m:rPr>
                                <m:nor/>
                              </m:rPr>
                              <w:rPr>
                                <w:rFonts w:ascii="Cambria Math"/>
                                <w:color w:val="0000FF"/>
                              </w:rPr>
                              <m:t xml:space="preserve"> </m:t>
                            </m:r>
                            <m:r>
                              <m:rPr>
                                <m:nor/>
                              </m:rPr>
                              <w:rPr>
                                <w:rFonts w:ascii="Cambria Math" w:hAnsi="Cambria Math"/>
                                <w:color w:val="0000FF"/>
                              </w:rPr>
                              <m:t xml:space="preserve">× </m:t>
                            </m:r>
                            <m:r>
                              <m:rPr>
                                <m:nor/>
                              </m:rPr>
                              <w:rPr>
                                <w:color w:val="0000FF"/>
                              </w:rPr>
                              <m:t>e</m:t>
                            </m:r>
                          </m:num>
                          <m:den>
                            <m:r>
                              <m:rPr>
                                <m:nor/>
                              </m:rPr>
                              <w:rPr>
                                <w:color w:val="0000FF"/>
                              </w:rPr>
                              <m:t>g</m:t>
                            </m:r>
                          </m:den>
                        </m:f>
                      </m:e>
                    </m:d>
                  </m:e>
                </m:d>
              </m:oMath>
            </m:oMathPara>
          </w:p>
        </w:tc>
      </w:tr>
    </w:tbl>
    <w:p w:rsidR="00EF4EC1" w:rsidRPr="007D7133" w:rsidRDefault="00EF4EC1" w:rsidP="00EF4EC1">
      <w:pPr>
        <w:pStyle w:val="Normaltext1"/>
      </w:pPr>
      <w:r w:rsidRPr="007D7133">
        <w:t>Multi</w:t>
      </w:r>
      <w:r>
        <w:noBreakHyphen/>
      </w:r>
      <w:r w:rsidRPr="007D7133">
        <w:t xml:space="preserve">letter variables are often tempting when a formula calls for multiple variables representing the same kind of thing (such as the number of days in period </w:t>
      </w:r>
      <w:r>
        <w:t>1</w:t>
      </w:r>
      <w:r w:rsidRPr="007D7133">
        <w:t xml:space="preserve"> and the number of days in period </w:t>
      </w:r>
      <w:r>
        <w:t>2</w:t>
      </w:r>
      <w:r w:rsidRPr="007D7133">
        <w:t>). The use of subscripts, explained above in relation to example 24, may be a solution in such cases. The formula in that example originally appeared with multi</w:t>
      </w:r>
      <w:r>
        <w:noBreakHyphen/>
      </w:r>
      <w:r w:rsidRPr="007D7133">
        <w:t>letter variables as shown in example 28.</w:t>
      </w:r>
    </w:p>
    <w:p w:rsidR="00EF4EC1" w:rsidRPr="00C80BD9" w:rsidRDefault="00EF4EC1" w:rsidP="00EF4EC1">
      <w:pPr>
        <w:pStyle w:val="Slidelabel"/>
      </w:pPr>
      <w:bookmarkStart w:id="167" w:name="_Ref475697853"/>
      <w:r w:rsidRPr="00C80BD9">
        <w:t>Subscripts to replace multi letter variables</w:t>
      </w:r>
      <w:bookmarkEnd w:id="167"/>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rPr>
          <w:cantSplit/>
        </w:trPr>
        <w:tc>
          <w:tcPr>
            <w:tcW w:w="8505" w:type="dxa"/>
            <w:shd w:val="clear" w:color="auto" w:fill="FFFFFF"/>
          </w:tcPr>
          <w:p w:rsidR="00EF4EC1" w:rsidRPr="00E331FB" w:rsidRDefault="00EF4EC1" w:rsidP="00EF4EC1">
            <w:pPr>
              <w:pStyle w:val="Slide1"/>
              <w:keepNext w:val="0"/>
              <w:rPr>
                <w:color w:val="0000FF"/>
              </w:rPr>
            </w:pPr>
            <w:r w:rsidRPr="00E331FB">
              <w:rPr>
                <w:color w:val="0000FF"/>
              </w:rPr>
              <w:t>40</w:t>
            </w:r>
            <w:r w:rsidRPr="00E331FB">
              <w:rPr>
                <w:color w:val="0000FF"/>
              </w:rPr>
              <w:tab/>
              <w:t>Rebates to registered persons</w:t>
            </w:r>
          </w:p>
          <w:p w:rsidR="00EF4EC1" w:rsidRPr="00E331FB" w:rsidRDefault="00EF4EC1" w:rsidP="00EF4EC1">
            <w:pPr>
              <w:pStyle w:val="Slide2"/>
              <w:rPr>
                <w:color w:val="0000FF"/>
              </w:rPr>
            </w:pPr>
            <w:r w:rsidRPr="00E331FB">
              <w:rPr>
                <w:color w:val="0000FF"/>
              </w:rPr>
              <w:tab/>
              <w:t>If a person is an eligible senior for a part of the charge period and an eligible pensioner for another part of the charge period, the rebate to be allowed shall be determined using the following formula:</w:t>
            </w:r>
          </w:p>
          <w:p w:rsidR="00EF4EC1" w:rsidRPr="00E331FB" w:rsidRDefault="00EF4EC1" w:rsidP="00EF4EC1">
            <w:pPr>
              <w:pStyle w:val="Slide2"/>
              <w:rPr>
                <w:color w:val="0000FF"/>
                <w:oMath/>
              </w:rPr>
            </w:pPr>
            <m:oMathPara>
              <m:oMathParaPr>
                <m:jc m:val="left"/>
              </m:oMathParaPr>
              <m:oMath>
                <m:r>
                  <m:rPr>
                    <m:nor/>
                  </m:rPr>
                  <w:rPr>
                    <w:color w:val="0000FF"/>
                  </w:rPr>
                  <m:t>r</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i/>
                        <w:color w:val="0000FF"/>
                      </w:rPr>
                    </m:ctrlPr>
                  </m:dPr>
                  <m:e>
                    <m:r>
                      <m:rPr>
                        <m:nor/>
                      </m:rPr>
                      <w:rPr>
                        <w:color w:val="0000FF"/>
                      </w:rPr>
                      <m:t>pcs</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color w:val="0000FF"/>
                          </w:rPr>
                        </m:ctrlPr>
                      </m:dPr>
                      <m:e>
                        <m:f>
                          <m:fPr>
                            <m:ctrlPr>
                              <w:rPr>
                                <w:rFonts w:ascii="Cambria Math" w:hAnsi="Cambria Math"/>
                                <w:color w:val="0000FF"/>
                              </w:rPr>
                            </m:ctrlPr>
                          </m:fPr>
                          <m:num>
                            <m:r>
                              <m:rPr>
                                <m:nor/>
                              </m:rPr>
                              <w:rPr>
                                <w:color w:val="0000FF"/>
                              </w:rPr>
                              <m:t>ds</m:t>
                            </m:r>
                          </m:num>
                          <m:den>
                            <m:r>
                              <m:rPr>
                                <m:nor/>
                              </m:rPr>
                              <w:rPr>
                                <w:color w:val="0000FF"/>
                              </w:rPr>
                              <m:t>cy</m:t>
                            </m:r>
                          </m:den>
                        </m:f>
                      </m:e>
                    </m:d>
                    <m:r>
                      <w:rPr>
                        <w:rFonts w:ascii="Cambria Math" w:hAnsi="Cambria Math"/>
                        <w:color w:val="0000FF"/>
                      </w:rPr>
                      <m:t xml:space="preserve"> </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begChr m:val="["/>
                    <m:endChr m:val="]"/>
                    <m:ctrlPr>
                      <w:rPr>
                        <w:rFonts w:ascii="Cambria Math" w:hAnsi="Cambria Math"/>
                        <w:i/>
                        <w:color w:val="0000FF"/>
                      </w:rPr>
                    </m:ctrlPr>
                  </m:dPr>
                  <m:e>
                    <m:r>
                      <m:rPr>
                        <m:nor/>
                      </m:rPr>
                      <w:rPr>
                        <w:color w:val="0000FF"/>
                      </w:rPr>
                      <m:t>pcp</m:t>
                    </m:r>
                    <m:r>
                      <m:rPr>
                        <m:nor/>
                      </m:rPr>
                      <w:rPr>
                        <w:rFonts w:ascii="Cambria Math"/>
                        <w:color w:val="0000FF"/>
                      </w:rPr>
                      <m:t xml:space="preserve"> </m:t>
                    </m:r>
                    <m:r>
                      <m:rPr>
                        <m:nor/>
                      </m:rPr>
                      <w:rPr>
                        <w:rFonts w:ascii="Cambria Math" w:hAnsi="Cambria Math"/>
                        <w:color w:val="0000FF"/>
                      </w:rPr>
                      <m:t xml:space="preserve">× </m:t>
                    </m:r>
                    <m:d>
                      <m:dPr>
                        <m:ctrlPr>
                          <w:rPr>
                            <w:rFonts w:ascii="Cambria Math" w:hAnsi="Cambria Math"/>
                            <w:color w:val="0000FF"/>
                          </w:rPr>
                        </m:ctrlPr>
                      </m:dPr>
                      <m:e>
                        <m:f>
                          <m:fPr>
                            <m:ctrlPr>
                              <w:rPr>
                                <w:rFonts w:ascii="Cambria Math" w:hAnsi="Cambria Math"/>
                                <w:color w:val="0000FF"/>
                              </w:rPr>
                            </m:ctrlPr>
                          </m:fPr>
                          <m:num>
                            <m:r>
                              <m:rPr>
                                <m:nor/>
                              </m:rPr>
                              <w:rPr>
                                <w:color w:val="0000FF"/>
                              </w:rPr>
                              <m:t>dp</m:t>
                            </m:r>
                          </m:num>
                          <m:den>
                            <m:r>
                              <m:rPr>
                                <m:nor/>
                              </m:rPr>
                              <w:rPr>
                                <w:color w:val="0000FF"/>
                              </w:rPr>
                              <m:t>cy</m:t>
                            </m:r>
                          </m:den>
                        </m:f>
                      </m:e>
                    </m:d>
                    <m:r>
                      <w:rPr>
                        <w:rFonts w:ascii="Cambria Math" w:hAnsi="Cambria Math"/>
                        <w:color w:val="0000FF"/>
                      </w:rPr>
                      <m:t xml:space="preserve"> </m:t>
                    </m:r>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tabs>
                <w:tab w:val="clear" w:pos="1021"/>
                <w:tab w:val="right" w:pos="1134"/>
              </w:tabs>
              <w:ind w:left="1276" w:hanging="709"/>
              <w:rPr>
                <w:color w:val="0000FF"/>
              </w:rPr>
            </w:pPr>
            <w:r w:rsidRPr="00E331FB">
              <w:rPr>
                <w:color w:val="0000FF"/>
              </w:rPr>
              <w:t>r</w:t>
            </w:r>
            <w:r w:rsidRPr="00E331FB">
              <w:rPr>
                <w:color w:val="0000FF"/>
              </w:rPr>
              <w:tab/>
              <w:t>=</w:t>
            </w:r>
            <w:r w:rsidRPr="00E331FB">
              <w:rPr>
                <w:color w:val="0000FF"/>
              </w:rPr>
              <w:tab/>
              <w:t>rebate to be allowed</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pcs</w:t>
            </w:r>
            <w:r w:rsidRPr="00E331FB">
              <w:rPr>
                <w:bCs/>
                <w:color w:val="0000FF"/>
              </w:rPr>
              <w:tab/>
              <w:t>=</w:t>
            </w:r>
            <w:r w:rsidRPr="00E331FB">
              <w:rPr>
                <w:bCs/>
                <w:color w:val="0000FF"/>
              </w:rPr>
              <w:tab/>
              <w:t>portion</w:t>
            </w:r>
            <w:r w:rsidRPr="00E331FB">
              <w:rPr>
                <w:color w:val="0000FF"/>
              </w:rPr>
              <w:t xml:space="preserve"> of the prescribed charge for </w:t>
            </w:r>
            <w:r w:rsidRPr="00E331FB">
              <w:rPr>
                <w:bCs/>
                <w:color w:val="0000FF"/>
              </w:rPr>
              <w:t>eligible seniors;</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pcp</w:t>
            </w:r>
            <w:r w:rsidRPr="00E331FB">
              <w:rPr>
                <w:color w:val="0000FF"/>
              </w:rPr>
              <w:tab/>
              <w:t>=</w:t>
            </w:r>
            <w:r w:rsidRPr="00E331FB">
              <w:rPr>
                <w:color w:val="0000FF"/>
              </w:rPr>
              <w:tab/>
            </w:r>
            <w:r w:rsidRPr="00E331FB">
              <w:rPr>
                <w:bCs/>
                <w:color w:val="0000FF"/>
              </w:rPr>
              <w:t>portion</w:t>
            </w:r>
            <w:r w:rsidRPr="00E331FB">
              <w:rPr>
                <w:color w:val="0000FF"/>
              </w:rPr>
              <w:t xml:space="preserve"> of the prescribed charge for </w:t>
            </w:r>
            <w:r w:rsidRPr="00E331FB">
              <w:rPr>
                <w:bCs/>
                <w:color w:val="0000FF"/>
              </w:rPr>
              <w:t>eligible pensioners</w:t>
            </w:r>
          </w:p>
          <w:p w:rsidR="00EF4EC1" w:rsidRPr="00E331FB" w:rsidRDefault="00EF4EC1" w:rsidP="00EF4EC1">
            <w:pPr>
              <w:pStyle w:val="Slide3"/>
              <w:tabs>
                <w:tab w:val="clear" w:pos="1021"/>
                <w:tab w:val="right" w:pos="1134"/>
              </w:tabs>
              <w:ind w:left="1276" w:hanging="709"/>
              <w:rPr>
                <w:color w:val="0000FF"/>
              </w:rPr>
            </w:pPr>
            <w:r w:rsidRPr="00E331FB">
              <w:rPr>
                <w:color w:val="0000FF"/>
              </w:rPr>
              <w:t>cy</w:t>
            </w:r>
            <w:r w:rsidRPr="00E331FB">
              <w:rPr>
                <w:color w:val="0000FF"/>
              </w:rPr>
              <w:tab/>
              <w:t>=</w:t>
            </w:r>
            <w:r w:rsidRPr="00E331FB">
              <w:rPr>
                <w:color w:val="0000FF"/>
              </w:rPr>
              <w:tab/>
              <w:t>number of days in the charge period</w:t>
            </w:r>
          </w:p>
          <w:p w:rsidR="00EF4EC1" w:rsidRPr="00E331FB" w:rsidRDefault="00EF4EC1" w:rsidP="00EF4EC1">
            <w:pPr>
              <w:pStyle w:val="Slide3"/>
              <w:tabs>
                <w:tab w:val="clear" w:pos="1021"/>
                <w:tab w:val="right" w:pos="1134"/>
              </w:tabs>
              <w:ind w:left="1276" w:hanging="709"/>
              <w:rPr>
                <w:color w:val="0000FF"/>
              </w:rPr>
            </w:pPr>
            <w:r w:rsidRPr="00E331FB">
              <w:rPr>
                <w:bCs/>
                <w:color w:val="0000FF"/>
              </w:rPr>
              <w:t>ds</w:t>
            </w:r>
            <w:r w:rsidRPr="00E331FB">
              <w:rPr>
                <w:color w:val="0000FF"/>
              </w:rPr>
              <w:tab/>
              <w:t>=</w:t>
            </w:r>
            <w:r w:rsidRPr="00E331FB">
              <w:rPr>
                <w:color w:val="0000FF"/>
              </w:rPr>
              <w:tab/>
              <w:t xml:space="preserve">number of </w:t>
            </w:r>
            <w:r w:rsidRPr="00E331FB">
              <w:rPr>
                <w:bCs/>
                <w:color w:val="0000FF"/>
              </w:rPr>
              <w:t xml:space="preserve">days </w:t>
            </w:r>
            <w:r w:rsidRPr="00E331FB">
              <w:rPr>
                <w:color w:val="0000FF"/>
              </w:rPr>
              <w:t xml:space="preserve">during the charge period that the person is </w:t>
            </w:r>
            <w:r w:rsidRPr="00E331FB">
              <w:rPr>
                <w:bCs/>
                <w:color w:val="0000FF"/>
              </w:rPr>
              <w:t>an eligible senior</w:t>
            </w:r>
          </w:p>
          <w:p w:rsidR="00EF4EC1" w:rsidRPr="00E331FB" w:rsidRDefault="00EF4EC1" w:rsidP="00EF4EC1">
            <w:pPr>
              <w:pStyle w:val="Slide3"/>
              <w:tabs>
                <w:tab w:val="clear" w:pos="1021"/>
                <w:tab w:val="right" w:pos="1134"/>
              </w:tabs>
              <w:ind w:left="1276" w:hanging="709"/>
              <w:rPr>
                <w:color w:val="0000FF"/>
              </w:rPr>
            </w:pPr>
            <w:r w:rsidRPr="00E331FB">
              <w:rPr>
                <w:color w:val="0000FF"/>
              </w:rPr>
              <w:t>dp</w:t>
            </w:r>
            <w:r w:rsidRPr="00E331FB">
              <w:rPr>
                <w:color w:val="0000FF"/>
              </w:rPr>
              <w:tab/>
              <w:t>=</w:t>
            </w:r>
            <w:r w:rsidRPr="00E331FB">
              <w:rPr>
                <w:color w:val="0000FF"/>
              </w:rPr>
              <w:tab/>
              <w:t>number of days during the charge period that the person is an eligible pensioner.</w:t>
            </w:r>
          </w:p>
        </w:tc>
      </w:tr>
    </w:tbl>
    <w:p w:rsidR="00D93B99" w:rsidRDefault="00D93B99">
      <w:r>
        <w:br w:type="page"/>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2"/>
              <w:rPr>
                <w:i/>
                <w:color w:val="0000FF"/>
              </w:rPr>
            </w:pPr>
            <w:r w:rsidRPr="00E331FB">
              <w:rPr>
                <w:i/>
                <w:color w:val="0000FF"/>
              </w:rPr>
              <w:lastRenderedPageBreak/>
              <w:t>Using single letter variables with subscripts:</w:t>
            </w:r>
          </w:p>
          <w:p w:rsidR="00EF4EC1" w:rsidRPr="00E331FB" w:rsidRDefault="00EF4EC1" w:rsidP="00EF4EC1">
            <w:pPr>
              <w:pStyle w:val="SlideEquation"/>
              <w:rPr>
                <w:color w:val="0000FF"/>
              </w:rPr>
            </w:pPr>
            <m:oMathPara>
              <m:oMathParaPr>
                <m:jc m:val="left"/>
              </m:oMathParaPr>
              <m:oMath>
                <m:r>
                  <m:rPr>
                    <m:nor/>
                  </m:rPr>
                  <w:rPr>
                    <w:color w:val="0000FF"/>
                  </w:rPr>
                  <m:t>r</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color w:val="0000FF"/>
                      </w:rPr>
                    </m:ctrlPr>
                  </m:dPr>
                  <m:e>
                    <m:sSub>
                      <m:sSubPr>
                        <m:ctrlPr>
                          <w:rPr>
                            <w:rFonts w:ascii="Cambria Math" w:hAnsi="Cambria Math"/>
                            <w:color w:val="0000FF"/>
                          </w:rPr>
                        </m:ctrlPr>
                      </m:sSubPr>
                      <m:e>
                        <m:r>
                          <m:rPr>
                            <m:nor/>
                          </m:rPr>
                          <w:rPr>
                            <w:color w:val="0000FF"/>
                          </w:rPr>
                          <m:t>p</m:t>
                        </m:r>
                      </m:e>
                      <m:sub>
                        <m:r>
                          <m:rPr>
                            <m:nor/>
                          </m:rPr>
                          <w:rPr>
                            <w:color w:val="0000FF"/>
                          </w:rPr>
                          <m:t>s</m:t>
                        </m:r>
                      </m:sub>
                    </m:sSub>
                    <m:r>
                      <m:rPr>
                        <m:nor/>
                      </m:rPr>
                      <w:rPr>
                        <w:rFonts w:ascii="Cambria Math"/>
                        <w:color w:val="0000FF"/>
                      </w:rPr>
                      <m:t xml:space="preserve"> </m:t>
                    </m:r>
                    <m:r>
                      <m:rPr>
                        <m:nor/>
                      </m:rPr>
                      <w:rPr>
                        <w:rFonts w:ascii="Cambria Math" w:hAnsi="Cambria Math"/>
                        <w:color w:val="0000FF"/>
                      </w:rPr>
                      <m:t xml:space="preserve">× </m:t>
                    </m:r>
                    <m:f>
                      <m:fPr>
                        <m:ctrlPr>
                          <w:rPr>
                            <w:rFonts w:ascii="Cambria Math" w:hAnsi="Cambria Math"/>
                            <w:color w:val="0000FF"/>
                          </w:rPr>
                        </m:ctrlPr>
                      </m:fPr>
                      <m:num>
                        <m:sSub>
                          <m:sSubPr>
                            <m:ctrlPr>
                              <w:rPr>
                                <w:rFonts w:ascii="Cambria Math" w:hAnsi="Cambria Math"/>
                                <w:color w:val="0000FF"/>
                              </w:rPr>
                            </m:ctrlPr>
                          </m:sSubPr>
                          <m:e>
                            <m:r>
                              <m:rPr>
                                <m:nor/>
                              </m:rPr>
                              <w:rPr>
                                <w:color w:val="0000FF"/>
                              </w:rPr>
                              <m:t>d</m:t>
                            </m:r>
                          </m:e>
                          <m:sub>
                            <m:r>
                              <m:rPr>
                                <m:nor/>
                              </m:rPr>
                              <w:rPr>
                                <w:color w:val="0000FF"/>
                              </w:rPr>
                              <m:t>s</m:t>
                            </m:r>
                          </m:sub>
                        </m:sSub>
                      </m:num>
                      <m:den>
                        <m:sSub>
                          <m:sSubPr>
                            <m:ctrlPr>
                              <w:rPr>
                                <w:rFonts w:ascii="Cambria Math" w:hAnsi="Cambria Math"/>
                                <w:color w:val="0000FF"/>
                              </w:rPr>
                            </m:ctrlPr>
                          </m:sSubPr>
                          <m:e>
                            <m:r>
                              <m:rPr>
                                <m:nor/>
                              </m:rPr>
                              <w:rPr>
                                <w:color w:val="0000FF"/>
                              </w:rPr>
                              <m:t>d</m:t>
                            </m:r>
                          </m:e>
                          <m:sub>
                            <m:r>
                              <m:rPr>
                                <m:nor/>
                              </m:rPr>
                              <w:rPr>
                                <w:color w:val="0000FF"/>
                              </w:rPr>
                              <m:t>c</m:t>
                            </m:r>
                          </m:sub>
                        </m:sSub>
                      </m:den>
                    </m:f>
                  </m:e>
                </m:d>
                <m:r>
                  <m:rPr>
                    <m:nor/>
                  </m:rPr>
                  <w:rPr>
                    <w:rFonts w:ascii="Cambria Math"/>
                    <w:color w:val="0000FF"/>
                  </w:rPr>
                  <m:t xml:space="preserve"> </m:t>
                </m:r>
                <m:r>
                  <m:rPr>
                    <m:nor/>
                  </m:rPr>
                  <w:rPr>
                    <w:rFonts w:ascii="Cambria Math" w:hAnsi="Cambria Math"/>
                    <w:color w:val="0000FF"/>
                  </w:rPr>
                  <m:t>+</m:t>
                </m:r>
                <m:r>
                  <m:rPr>
                    <m:nor/>
                  </m:rPr>
                  <w:rPr>
                    <w:color w:val="0000FF"/>
                  </w:rPr>
                  <m:t xml:space="preserve"> </m:t>
                </m:r>
                <m:d>
                  <m:dPr>
                    <m:ctrlPr>
                      <w:rPr>
                        <w:rFonts w:ascii="Cambria Math" w:hAnsi="Cambria Math"/>
                        <w:color w:val="0000FF"/>
                      </w:rPr>
                    </m:ctrlPr>
                  </m:dPr>
                  <m:e>
                    <m:sSub>
                      <m:sSubPr>
                        <m:ctrlPr>
                          <w:rPr>
                            <w:rFonts w:ascii="Cambria Math" w:hAnsi="Cambria Math"/>
                            <w:color w:val="0000FF"/>
                          </w:rPr>
                        </m:ctrlPr>
                      </m:sSubPr>
                      <m:e>
                        <m:r>
                          <m:rPr>
                            <m:nor/>
                          </m:rPr>
                          <w:rPr>
                            <w:color w:val="0000FF"/>
                          </w:rPr>
                          <m:t>p</m:t>
                        </m:r>
                      </m:e>
                      <m:sub>
                        <m:r>
                          <m:rPr>
                            <m:nor/>
                          </m:rPr>
                          <w:rPr>
                            <w:color w:val="0000FF"/>
                          </w:rPr>
                          <m:t>p</m:t>
                        </m:r>
                      </m:sub>
                    </m:sSub>
                    <m:r>
                      <m:rPr>
                        <m:nor/>
                      </m:rPr>
                      <w:rPr>
                        <w:rFonts w:ascii="Cambria Math"/>
                        <w:color w:val="0000FF"/>
                      </w:rPr>
                      <m:t xml:space="preserve"> </m:t>
                    </m:r>
                    <m:r>
                      <m:rPr>
                        <m:nor/>
                      </m:rPr>
                      <w:rPr>
                        <w:rFonts w:ascii="Cambria Math" w:hAnsi="Cambria Math"/>
                        <w:color w:val="0000FF"/>
                      </w:rPr>
                      <m:t>×</m:t>
                    </m:r>
                    <m:f>
                      <m:fPr>
                        <m:ctrlPr>
                          <w:rPr>
                            <w:rFonts w:ascii="Cambria Math" w:hAnsi="Cambria Math"/>
                            <w:color w:val="0000FF"/>
                          </w:rPr>
                        </m:ctrlPr>
                      </m:fPr>
                      <m:num>
                        <m:r>
                          <w:rPr>
                            <w:rFonts w:ascii="Cambria Math" w:hAnsi="Cambria Math"/>
                            <w:color w:val="0000FF"/>
                          </w:rPr>
                          <m:t xml:space="preserve"> </m:t>
                        </m:r>
                        <m:sSub>
                          <m:sSubPr>
                            <m:ctrlPr>
                              <w:rPr>
                                <w:rFonts w:ascii="Cambria Math" w:hAnsi="Cambria Math"/>
                                <w:color w:val="0000FF"/>
                              </w:rPr>
                            </m:ctrlPr>
                          </m:sSubPr>
                          <m:e>
                            <m:r>
                              <m:rPr>
                                <m:nor/>
                              </m:rPr>
                              <w:rPr>
                                <w:color w:val="0000FF"/>
                              </w:rPr>
                              <m:t>d</m:t>
                            </m:r>
                          </m:e>
                          <m:sub>
                            <m:r>
                              <m:rPr>
                                <m:nor/>
                              </m:rPr>
                              <w:rPr>
                                <w:color w:val="0000FF"/>
                              </w:rPr>
                              <m:t>p</m:t>
                            </m:r>
                          </m:sub>
                        </m:sSub>
                      </m:num>
                      <m:den>
                        <m:sSub>
                          <m:sSubPr>
                            <m:ctrlPr>
                              <w:rPr>
                                <w:rFonts w:ascii="Cambria Math" w:hAnsi="Cambria Math"/>
                                <w:color w:val="0000FF"/>
                              </w:rPr>
                            </m:ctrlPr>
                          </m:sSubPr>
                          <m:e>
                            <m:r>
                              <m:rPr>
                                <m:nor/>
                              </m:rPr>
                              <w:rPr>
                                <w:color w:val="0000FF"/>
                              </w:rPr>
                              <m:t>d</m:t>
                            </m:r>
                          </m:e>
                          <m:sub>
                            <m:r>
                              <m:rPr>
                                <m:nor/>
                              </m:rPr>
                              <w:rPr>
                                <w:color w:val="0000FF"/>
                              </w:rPr>
                              <m:t>c</m:t>
                            </m:r>
                          </m:sub>
                        </m:sSub>
                      </m:den>
                    </m:f>
                  </m:e>
                </m:d>
              </m:oMath>
            </m:oMathPara>
          </w:p>
        </w:tc>
      </w:tr>
    </w:tbl>
    <w:p w:rsidR="00EF4EC1" w:rsidRPr="007D7133" w:rsidRDefault="00EF4EC1" w:rsidP="00EF4EC1">
      <w:pPr>
        <w:pStyle w:val="Normaltext1"/>
      </w:pPr>
      <w:r w:rsidRPr="007D7133">
        <w:t>A variable is, by definition, a symbol for something. The rules of mathematical language allow for variables to be letters, figures, or other symbols, but not words or strings of text that have a linguistic meaning. The practice of using text variables, as shown in example 29, is</w:t>
      </w:r>
      <w:r>
        <w:t>,</w:t>
      </w:r>
      <w:r w:rsidRPr="007D7133">
        <w:t xml:space="preserve"> I suggest, misguided. The fact that a sentence is made up of letters and punctuation marks does not mean that any string of letters and punctuation marks qualifies as a sentence.  So too, arranging words around mathematic symbols is not sufficient to make a formula. </w:t>
      </w:r>
    </w:p>
    <w:p w:rsidR="00EF4EC1" w:rsidRPr="00C80BD9" w:rsidRDefault="00EF4EC1" w:rsidP="00EF4EC1">
      <w:pPr>
        <w:pStyle w:val="Slidelabel"/>
      </w:pPr>
      <w:bookmarkStart w:id="168" w:name="_Ref475701073"/>
      <w:r w:rsidRPr="00C80BD9">
        <w:t>Text instead of variables</w:t>
      </w:r>
      <w:bookmarkEnd w:id="168"/>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1"/>
              <w:keepNext w:val="0"/>
              <w:rPr>
                <w:snapToGrid w:val="0"/>
                <w:color w:val="0000FF"/>
              </w:rPr>
            </w:pPr>
            <w:r w:rsidRPr="00E331FB">
              <w:rPr>
                <w:snapToGrid w:val="0"/>
                <w:color w:val="0000FF"/>
              </w:rPr>
              <w:t>19</w:t>
            </w:r>
            <w:r w:rsidRPr="00E331FB">
              <w:rPr>
                <w:snapToGrid w:val="0"/>
                <w:color w:val="0000FF"/>
              </w:rPr>
              <w:tab/>
              <w:t>Amalgamated loan from a previous year treated as dividend if minimum repayment not made</w:t>
            </w:r>
          </w:p>
          <w:p w:rsidR="00EF4EC1" w:rsidRPr="00E331FB" w:rsidRDefault="00EF4EC1" w:rsidP="00EF4EC1">
            <w:pPr>
              <w:pStyle w:val="Slide2"/>
              <w:rPr>
                <w:color w:val="0000FF"/>
              </w:rPr>
            </w:pPr>
            <w:r w:rsidRPr="00E331FB">
              <w:rPr>
                <w:color w:val="0000FF"/>
              </w:rPr>
              <w:tab/>
              <w:t>The formula for the minimum yearly repayment for a year of income is:</w:t>
            </w:r>
          </w:p>
          <w:p w:rsidR="00EF4EC1" w:rsidRPr="00E3490E" w:rsidRDefault="00D22D1E" w:rsidP="00EF4EC1">
            <w:pPr>
              <w:pStyle w:val="SlideEquation"/>
              <w:ind w:left="284"/>
              <w:rPr>
                <w:color w:val="0000FF"/>
                <w:sz w:val="20"/>
                <w:szCs w:val="20"/>
                <w:oMath/>
              </w:rPr>
            </w:pPr>
            <m:oMathPara>
              <m:oMath>
                <m:f>
                  <m:fPr>
                    <m:ctrlPr>
                      <w:rPr>
                        <w:rFonts w:ascii="Cambria Math" w:hAnsi="Cambria Math"/>
                        <w:i/>
                        <w:snapToGrid/>
                        <w:color w:val="0000FF"/>
                        <w:sz w:val="20"/>
                        <w:szCs w:val="20"/>
                      </w:rPr>
                    </m:ctrlPr>
                  </m:fPr>
                  <m:num>
                    <m:eqArr>
                      <m:eqArrPr>
                        <m:ctrlPr>
                          <w:rPr>
                            <w:rFonts w:ascii="Cambria Math" w:hAnsi="Cambria Math"/>
                            <w:i/>
                            <w:color w:val="0000FF"/>
                            <w:sz w:val="20"/>
                            <w:szCs w:val="20"/>
                          </w:rPr>
                        </m:ctrlPr>
                      </m:eqArrPr>
                      <m:e>
                        <m:r>
                          <m:rPr>
                            <m:nor/>
                          </m:rPr>
                          <w:rPr>
                            <w:color w:val="0000FF"/>
                            <w:sz w:val="20"/>
                            <w:szCs w:val="20"/>
                          </w:rPr>
                          <m:t xml:space="preserve">Amount of the loan not repaid by the         </m:t>
                        </m:r>
                        <m:r>
                          <m:rPr>
                            <m:nor/>
                          </m:rPr>
                          <w:rPr>
                            <w:rFonts w:ascii="Cambria Math"/>
                            <w:color w:val="0000FF"/>
                            <w:sz w:val="20"/>
                            <w:szCs w:val="20"/>
                          </w:rPr>
                          <m:t xml:space="preserve">          </m:t>
                        </m:r>
                        <m:r>
                          <m:rPr>
                            <m:nor/>
                          </m:rPr>
                          <w:rPr>
                            <w:color w:val="0000FF"/>
                            <w:sz w:val="20"/>
                            <w:szCs w:val="20"/>
                          </w:rPr>
                          <m:t>Current yea</m:t>
                        </m:r>
                        <m:sSup>
                          <m:sSupPr>
                            <m:ctrlPr>
                              <w:rPr>
                                <w:rFonts w:ascii="Cambria Math" w:hAnsi="Cambria Math"/>
                                <w:i/>
                                <w:color w:val="0000FF"/>
                                <w:sz w:val="20"/>
                                <w:szCs w:val="20"/>
                              </w:rPr>
                            </m:ctrlPr>
                          </m:sSupPr>
                          <m:e>
                            <m:r>
                              <m:rPr>
                                <m:nor/>
                              </m:rPr>
                              <w:rPr>
                                <w:color w:val="0000FF"/>
                                <w:sz w:val="20"/>
                                <w:szCs w:val="20"/>
                              </w:rPr>
                              <m:t>r</m:t>
                            </m:r>
                          </m:e>
                          <m:sup>
                            <m:r>
                              <m:rPr>
                                <m:nor/>
                              </m:rPr>
                              <w:rPr>
                                <w:color w:val="0000FF"/>
                                <w:sz w:val="20"/>
                                <w:szCs w:val="20"/>
                              </w:rPr>
                              <m:t>'</m:t>
                            </m:r>
                          </m:sup>
                        </m:sSup>
                        <m:r>
                          <m:rPr>
                            <m:nor/>
                          </m:rPr>
                          <w:rPr>
                            <w:color w:val="0000FF"/>
                            <w:sz w:val="20"/>
                            <w:szCs w:val="20"/>
                          </w:rPr>
                          <m:t xml:space="preserve">s              </m:t>
                        </m:r>
                      </m:e>
                      <m:e>
                        <m:r>
                          <m:rPr>
                            <m:nor/>
                          </m:rPr>
                          <w:rPr>
                            <w:color w:val="0000FF"/>
                            <w:sz w:val="20"/>
                            <w:szCs w:val="20"/>
                          </w:rPr>
                          <m:t xml:space="preserve">end of the previous year of income   </m:t>
                        </m:r>
                        <m:r>
                          <m:rPr>
                            <m:nor/>
                          </m:rPr>
                          <w:rPr>
                            <w:rFonts w:ascii="Cambria Math" w:hAnsi="Cambria Math"/>
                            <w:color w:val="0000FF"/>
                            <w:sz w:val="20"/>
                            <w:szCs w:val="20"/>
                          </w:rPr>
                          <m:t>×</m:t>
                        </m:r>
                        <m:r>
                          <m:rPr>
                            <m:nor/>
                          </m:rPr>
                          <w:rPr>
                            <w:color w:val="0000FF"/>
                            <w:sz w:val="20"/>
                            <w:szCs w:val="20"/>
                          </w:rPr>
                          <m:t xml:space="preserve">   benchmark interest rate    </m:t>
                        </m:r>
                      </m:e>
                    </m:eqArr>
                  </m:num>
                  <m:den>
                    <m:r>
                      <m:rPr>
                        <m:nor/>
                      </m:rPr>
                      <w:rPr>
                        <w:color w:val="0000FF"/>
                        <w:sz w:val="20"/>
                        <w:szCs w:val="20"/>
                      </w:rPr>
                      <m:t>1 -</m:t>
                    </m:r>
                    <m:sSup>
                      <m:sSupPr>
                        <m:ctrlPr>
                          <w:rPr>
                            <w:rFonts w:ascii="Cambria Math" w:hAnsi="Cambria Math"/>
                            <w:i/>
                            <w:snapToGrid/>
                            <w:color w:val="0000FF"/>
                            <w:sz w:val="20"/>
                            <w:szCs w:val="20"/>
                          </w:rPr>
                        </m:ctrlPr>
                      </m:sSupPr>
                      <m:e>
                        <m:d>
                          <m:dPr>
                            <m:begChr m:val="["/>
                            <m:endChr m:val="]"/>
                            <m:ctrlPr>
                              <w:rPr>
                                <w:rFonts w:ascii="Cambria Math" w:hAnsi="Cambria Math"/>
                                <w:i/>
                                <w:snapToGrid/>
                                <w:color w:val="0000FF"/>
                                <w:sz w:val="20"/>
                                <w:szCs w:val="20"/>
                              </w:rPr>
                            </m:ctrlPr>
                          </m:dPr>
                          <m:e>
                            <m:f>
                              <m:fPr>
                                <m:ctrlPr>
                                  <w:rPr>
                                    <w:rFonts w:ascii="Cambria Math" w:hAnsi="Cambria Math"/>
                                    <w:i/>
                                    <w:snapToGrid/>
                                    <w:color w:val="0000FF"/>
                                    <w:sz w:val="20"/>
                                    <w:szCs w:val="20"/>
                                  </w:rPr>
                                </m:ctrlPr>
                              </m:fPr>
                              <m:num>
                                <m:r>
                                  <m:rPr>
                                    <m:nor/>
                                  </m:rPr>
                                  <w:rPr>
                                    <w:color w:val="0000FF"/>
                                    <w:sz w:val="20"/>
                                    <w:szCs w:val="20"/>
                                  </w:rPr>
                                  <m:t xml:space="preserve">1         </m:t>
                                </m:r>
                              </m:num>
                              <m:den>
                                <m:eqArr>
                                  <m:eqArrPr>
                                    <m:ctrlPr>
                                      <w:rPr>
                                        <w:rFonts w:ascii="Cambria Math" w:hAnsi="Cambria Math"/>
                                        <w:color w:val="0000FF"/>
                                        <w:sz w:val="20"/>
                                        <w:szCs w:val="20"/>
                                      </w:rPr>
                                    </m:ctrlPr>
                                  </m:eqArrPr>
                                  <m:e>
                                    <m:r>
                                      <m:rPr>
                                        <m:nor/>
                                      </m:rPr>
                                      <w:rPr>
                                        <w:color w:val="0000FF"/>
                                        <w:sz w:val="20"/>
                                        <w:szCs w:val="20"/>
                                      </w:rPr>
                                      <m:t xml:space="preserve">1 +   Current year's         </m:t>
                                    </m:r>
                                    <m:r>
                                      <m:rPr>
                                        <m:nor/>
                                      </m:rPr>
                                      <w:rPr>
                                        <w:rFonts w:ascii="Cambria Math"/>
                                        <w:color w:val="0000FF"/>
                                        <w:sz w:val="20"/>
                                        <w:szCs w:val="20"/>
                                      </w:rPr>
                                      <m:t xml:space="preserve">   </m:t>
                                    </m:r>
                                    <m:r>
                                      <m:rPr>
                                        <m:nor/>
                                      </m:rPr>
                                      <w:rPr>
                                        <w:color w:val="0000FF"/>
                                        <w:sz w:val="20"/>
                                        <w:szCs w:val="20"/>
                                      </w:rPr>
                                      <m:t xml:space="preserve">   </m:t>
                                    </m:r>
                                  </m:e>
                                  <m:e>
                                    <m:r>
                                      <m:rPr>
                                        <m:nor/>
                                      </m:rPr>
                                      <w:rPr>
                                        <w:rFonts w:ascii="Cambria Math"/>
                                        <w:color w:val="0000FF"/>
                                        <w:sz w:val="20"/>
                                        <w:szCs w:val="20"/>
                                      </w:rPr>
                                      <m:t xml:space="preserve">       </m:t>
                                    </m:r>
                                    <m:r>
                                      <m:rPr>
                                        <m:nor/>
                                      </m:rPr>
                                      <w:rPr>
                                        <w:color w:val="0000FF"/>
                                        <w:sz w:val="20"/>
                                        <w:szCs w:val="20"/>
                                      </w:rPr>
                                      <m:t>benchmark interst rate</m:t>
                                    </m:r>
                                  </m:e>
                                </m:eqArr>
                              </m:den>
                            </m:f>
                          </m:e>
                        </m:d>
                      </m:e>
                      <m:sup>
                        <m:r>
                          <m:rPr>
                            <m:nor/>
                          </m:rPr>
                          <w:rPr>
                            <w:color w:val="0000FF"/>
                            <w:sz w:val="24"/>
                            <w:szCs w:val="24"/>
                          </w:rPr>
                          <m:t>Remaining term</m:t>
                        </m:r>
                      </m:sup>
                    </m:sSup>
                  </m:den>
                </m:f>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tabs>
                <w:tab w:val="clear" w:pos="1021"/>
              </w:tabs>
              <w:ind w:left="567" w:firstLine="0"/>
              <w:rPr>
                <w:color w:val="0000FF"/>
              </w:rPr>
            </w:pPr>
            <w:r>
              <w:rPr>
                <w:b/>
                <w:color w:val="0000FF"/>
              </w:rPr>
              <w:t>C</w:t>
            </w:r>
            <w:r w:rsidRPr="00E331FB">
              <w:rPr>
                <w:b/>
                <w:color w:val="0000FF"/>
              </w:rPr>
              <w:t>urrent year’s benchmark interest rate</w:t>
            </w:r>
            <w:r w:rsidRPr="00E331FB">
              <w:rPr>
                <w:color w:val="0000FF"/>
              </w:rPr>
              <w:t xml:space="preserve"> is the benchmark interest rate for the year of income for which the minimum yearly</w:t>
            </w:r>
            <w:r>
              <w:rPr>
                <w:color w:val="0000FF"/>
              </w:rPr>
              <w:t xml:space="preserve"> repayment is being worked out.</w:t>
            </w:r>
          </w:p>
        </w:tc>
      </w:tr>
      <w:tr w:rsidR="00EF4EC1" w:rsidRPr="00C80BD9" w:rsidTr="00EF4EC1">
        <w:trPr>
          <w:cantSplit/>
        </w:trPr>
        <w:tc>
          <w:tcPr>
            <w:tcW w:w="8505" w:type="dxa"/>
            <w:shd w:val="clear" w:color="auto" w:fill="FFFFFF"/>
          </w:tcPr>
          <w:p w:rsidR="00EF4EC1" w:rsidRPr="00E331FB" w:rsidRDefault="00EF4EC1" w:rsidP="00EF4EC1">
            <w:pPr>
              <w:pStyle w:val="Slide3"/>
              <w:rPr>
                <w:color w:val="0000FF"/>
              </w:rPr>
            </w:pPr>
            <w:r>
              <w:rPr>
                <w:b/>
                <w:bCs/>
                <w:iCs/>
                <w:color w:val="0000FF"/>
              </w:rPr>
              <w:t>R</w:t>
            </w:r>
            <w:r w:rsidRPr="00E331FB">
              <w:rPr>
                <w:b/>
                <w:bCs/>
                <w:iCs/>
                <w:color w:val="0000FF"/>
              </w:rPr>
              <w:t>emaining term</w:t>
            </w:r>
            <w:r w:rsidRPr="00E331FB">
              <w:rPr>
                <w:color w:val="0000FF"/>
              </w:rPr>
              <w:t xml:space="preserve"> is the difference between:</w:t>
            </w:r>
          </w:p>
          <w:p w:rsidR="00EF4EC1" w:rsidRDefault="00EF4EC1" w:rsidP="00EF4EC1">
            <w:pPr>
              <w:pStyle w:val="Slide4"/>
              <w:ind w:left="1134"/>
              <w:rPr>
                <w:color w:val="0000FF"/>
              </w:rPr>
            </w:pPr>
            <w:r w:rsidRPr="00E331FB">
              <w:rPr>
                <w:color w:val="0000FF"/>
              </w:rPr>
              <w:t>(a)</w:t>
            </w:r>
            <w:r w:rsidRPr="00E331FB">
              <w:rPr>
                <w:color w:val="0000FF"/>
              </w:rPr>
              <w:tab/>
              <w:t>the number of years in the longest term of any of the constituent loans that the amalgamated loan takes account of; and</w:t>
            </w:r>
            <w:r>
              <w:rPr>
                <w:color w:val="0000FF"/>
              </w:rPr>
              <w:t xml:space="preserve"> </w:t>
            </w:r>
          </w:p>
          <w:p w:rsidR="00EF4EC1" w:rsidRPr="00E331FB" w:rsidRDefault="00EF4EC1" w:rsidP="00EF4EC1">
            <w:pPr>
              <w:pStyle w:val="Slide4"/>
              <w:ind w:left="1134"/>
              <w:rPr>
                <w:color w:val="0000FF"/>
              </w:rPr>
            </w:pPr>
            <w:r w:rsidRPr="00E331FB">
              <w:rPr>
                <w:color w:val="0000FF"/>
              </w:rPr>
              <w:t>(b)</w:t>
            </w:r>
            <w:r w:rsidRPr="00E331FB">
              <w:rPr>
                <w:color w:val="0000FF"/>
              </w:rPr>
              <w:tab/>
              <w:t>the number of years between the end of the private company’s year of income in which the loan was made and the end of the private company’s year of income before the year of income for which the minimum yearly repayment is being worked out.</w:t>
            </w:r>
          </w:p>
        </w:tc>
      </w:tr>
    </w:tbl>
    <w:p w:rsidR="00D93B99" w:rsidRDefault="00D93B99">
      <w:r>
        <w:br w:type="page"/>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2"/>
              <w:rPr>
                <w:i/>
                <w:color w:val="0000FF"/>
              </w:rPr>
            </w:pPr>
            <w:r w:rsidRPr="00E331FB">
              <w:rPr>
                <w:i/>
                <w:color w:val="0000FF"/>
              </w:rPr>
              <w:lastRenderedPageBreak/>
              <w:t>Written as a formula:</w:t>
            </w:r>
          </w:p>
          <w:p w:rsidR="00EF4EC1" w:rsidRPr="00E331FB" w:rsidRDefault="00EF4EC1" w:rsidP="00EF4EC1">
            <w:pPr>
              <w:pStyle w:val="SlideEquation"/>
              <w:rPr>
                <w:color w:val="0000FF"/>
                <w:oMath/>
              </w:rPr>
            </w:pPr>
            <m:oMathPara>
              <m:oMathParaPr>
                <m:jc m:val="left"/>
              </m:oMathParaPr>
              <m:oMath>
                <m:r>
                  <m:rPr>
                    <m:nor/>
                  </m:rPr>
                  <w:rPr>
                    <w:color w:val="0000FF"/>
                  </w:rPr>
                  <m:t>m</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color w:val="0000FF"/>
                      </w:rPr>
                    </m:ctrlPr>
                  </m:fPr>
                  <m:num>
                    <m:r>
                      <m:rPr>
                        <m:nor/>
                      </m:rPr>
                      <w:rPr>
                        <w:color w:val="0000FF"/>
                      </w:rPr>
                      <m:t>u</m:t>
                    </m:r>
                    <m:r>
                      <m:rPr>
                        <m:nor/>
                      </m:rPr>
                      <w:rPr>
                        <w:rFonts w:ascii="Cambria Math"/>
                        <w:color w:val="0000FF"/>
                      </w:rPr>
                      <m:t xml:space="preserve"> </m:t>
                    </m:r>
                    <m:r>
                      <m:rPr>
                        <m:nor/>
                      </m:rPr>
                      <w:rPr>
                        <w:rFonts w:ascii="Cambria Math" w:hAnsi="Cambria Math"/>
                        <w:color w:val="0000FF"/>
                      </w:rPr>
                      <m:t>×</m:t>
                    </m:r>
                    <m:r>
                      <m:rPr>
                        <m:nor/>
                      </m:rPr>
                      <w:rPr>
                        <w:color w:val="0000FF"/>
                      </w:rPr>
                      <m:t xml:space="preserve"> b</m:t>
                    </m:r>
                  </m:num>
                  <m:den>
                    <m:r>
                      <m:rPr>
                        <m:nor/>
                      </m:rPr>
                      <w:rPr>
                        <w:color w:val="0000FF"/>
                      </w:rPr>
                      <m:t>1</m:t>
                    </m:r>
                    <m:r>
                      <m:rPr>
                        <m:sty m:val="p"/>
                      </m:rPr>
                      <w:rPr>
                        <w:rFonts w:ascii="Cambria Math" w:hAnsi="Cambria Math"/>
                        <w:color w:val="0000FF"/>
                      </w:rPr>
                      <m:t>-</m:t>
                    </m:r>
                    <m:sSup>
                      <m:sSupPr>
                        <m:ctrlPr>
                          <w:rPr>
                            <w:rFonts w:ascii="Cambria Math" w:hAnsi="Cambria Math"/>
                            <w:i/>
                            <w:color w:val="0000FF"/>
                          </w:rPr>
                        </m:ctrlPr>
                      </m:sSupPr>
                      <m:e>
                        <m:d>
                          <m:dPr>
                            <m:ctrlPr>
                              <w:rPr>
                                <w:rFonts w:ascii="Cambria Math" w:hAnsi="Cambria Math"/>
                                <w:i/>
                                <w:color w:val="0000FF"/>
                              </w:rPr>
                            </m:ctrlPr>
                          </m:dPr>
                          <m:e>
                            <m:f>
                              <m:fPr>
                                <m:ctrlPr>
                                  <w:rPr>
                                    <w:rFonts w:ascii="Cambria Math" w:hAnsi="Cambria Math"/>
                                    <w:i/>
                                    <w:color w:val="0000FF"/>
                                  </w:rPr>
                                </m:ctrlPr>
                              </m:fPr>
                              <m:num>
                                <m:r>
                                  <m:rPr>
                                    <m:nor/>
                                  </m:rPr>
                                  <w:rPr>
                                    <w:color w:val="0000FF"/>
                                  </w:rPr>
                                  <m:t>1</m:t>
                                </m:r>
                              </m:num>
                              <m:den>
                                <m:r>
                                  <m:rPr>
                                    <m:nor/>
                                  </m:rPr>
                                  <w:rPr>
                                    <w:color w:val="0000FF"/>
                                  </w:rPr>
                                  <m:t>1</m:t>
                                </m:r>
                                <m:r>
                                  <m:rPr>
                                    <m:nor/>
                                  </m:rPr>
                                  <w:rPr>
                                    <w:rFonts w:ascii="Cambria Math"/>
                                    <w:color w:val="0000FF"/>
                                  </w:rPr>
                                  <m:t xml:space="preserve"> </m:t>
                                </m:r>
                                <m:r>
                                  <m:rPr>
                                    <m:nor/>
                                  </m:rPr>
                                  <w:rPr>
                                    <w:rFonts w:ascii="Cambria Math" w:hAnsi="Cambria Math"/>
                                    <w:color w:val="0000FF"/>
                                  </w:rPr>
                                  <m:t>+</m:t>
                                </m:r>
                                <m:r>
                                  <m:rPr>
                                    <m:nor/>
                                  </m:rPr>
                                  <w:rPr>
                                    <w:color w:val="0000FF"/>
                                  </w:rPr>
                                  <m:t xml:space="preserve"> b</m:t>
                                </m:r>
                              </m:den>
                            </m:f>
                          </m:e>
                        </m:d>
                      </m:e>
                      <m:sup>
                        <m:d>
                          <m:dPr>
                            <m:ctrlPr>
                              <w:rPr>
                                <w:rFonts w:ascii="Cambria Math" w:hAnsi="Cambria Math"/>
                                <w:color w:val="0000FF"/>
                              </w:rPr>
                            </m:ctrlPr>
                          </m:dPr>
                          <m:e>
                            <m:sSub>
                              <m:sSubPr>
                                <m:ctrlPr>
                                  <w:rPr>
                                    <w:rFonts w:ascii="Cambria Math" w:hAnsi="Cambria Math"/>
                                    <w:i/>
                                    <w:color w:val="0000FF"/>
                                  </w:rPr>
                                </m:ctrlPr>
                              </m:sSubPr>
                              <m:e>
                                <m:r>
                                  <m:rPr>
                                    <m:nor/>
                                  </m:rPr>
                                  <w:rPr>
                                    <w:color w:val="0000FF"/>
                                  </w:rPr>
                                  <m:t>y</m:t>
                                </m:r>
                              </m:e>
                              <m:sub>
                                <m:r>
                                  <m:rPr>
                                    <m:nor/>
                                  </m:rPr>
                                  <w:rPr>
                                    <w:color w:val="0000FF"/>
                                  </w:rPr>
                                  <m:t>2</m:t>
                                </m:r>
                              </m:sub>
                            </m:sSub>
                            <m:r>
                              <m:rPr>
                                <m:sty m:val="p"/>
                              </m:rPr>
                              <w:rPr>
                                <w:rFonts w:ascii="Cambria Math" w:hAnsi="Cambria Math"/>
                                <w:color w:val="0000FF"/>
                              </w:rPr>
                              <m:t xml:space="preserve"> - </m:t>
                            </m:r>
                            <m:sSub>
                              <m:sSubPr>
                                <m:ctrlPr>
                                  <w:rPr>
                                    <w:rFonts w:ascii="Cambria Math" w:hAnsi="Cambria Math"/>
                                    <w:i/>
                                    <w:color w:val="0000FF"/>
                                  </w:rPr>
                                </m:ctrlPr>
                              </m:sSubPr>
                              <m:e>
                                <m:r>
                                  <m:rPr>
                                    <m:nor/>
                                  </m:rPr>
                                  <w:rPr>
                                    <w:color w:val="0000FF"/>
                                  </w:rPr>
                                  <m:t>y</m:t>
                                </m:r>
                              </m:e>
                              <m:sub>
                                <m:r>
                                  <m:rPr>
                                    <m:nor/>
                                  </m:rPr>
                                  <w:rPr>
                                    <w:color w:val="0000FF"/>
                                  </w:rPr>
                                  <m:t>1</m:t>
                                </m:r>
                              </m:sub>
                            </m:sSub>
                          </m:e>
                        </m:d>
                      </m:sup>
                    </m:sSup>
                  </m:den>
                </m:f>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m</w:t>
            </w:r>
            <w:r w:rsidRPr="00E331FB">
              <w:rPr>
                <w:color w:val="0000FF"/>
              </w:rPr>
              <w:tab/>
              <w:t>=</w:t>
            </w:r>
            <w:r w:rsidRPr="00E331FB">
              <w:rPr>
                <w:color w:val="0000FF"/>
              </w:rPr>
              <w:tab/>
              <w:t>minimum yearly repayment</w:t>
            </w:r>
          </w:p>
          <w:p w:rsidR="00EF4EC1" w:rsidRPr="00E331FB" w:rsidRDefault="00EF4EC1" w:rsidP="00EF4EC1">
            <w:pPr>
              <w:pStyle w:val="Slide3"/>
              <w:rPr>
                <w:color w:val="0000FF"/>
              </w:rPr>
            </w:pPr>
            <w:r w:rsidRPr="00E331FB">
              <w:rPr>
                <w:color w:val="0000FF"/>
              </w:rPr>
              <w:t>u</w:t>
            </w:r>
            <w:r w:rsidRPr="00E331FB">
              <w:rPr>
                <w:color w:val="0000FF"/>
              </w:rPr>
              <w:tab/>
              <w:t>=</w:t>
            </w:r>
            <w:r w:rsidRPr="00E331FB">
              <w:rPr>
                <w:color w:val="0000FF"/>
              </w:rPr>
              <w:tab/>
              <w:t>amount of the loan not repaid by the end of the previous year of income</w:t>
            </w:r>
          </w:p>
          <w:p w:rsidR="00EF4EC1" w:rsidRPr="00E331FB" w:rsidRDefault="00EF4EC1" w:rsidP="00EF4EC1">
            <w:pPr>
              <w:pStyle w:val="Slide3"/>
              <w:rPr>
                <w:color w:val="0000FF"/>
              </w:rPr>
            </w:pPr>
            <w:r w:rsidRPr="00E331FB">
              <w:rPr>
                <w:color w:val="0000FF"/>
              </w:rPr>
              <w:t>b</w:t>
            </w:r>
            <w:r w:rsidRPr="00E331FB">
              <w:rPr>
                <w:color w:val="0000FF"/>
              </w:rPr>
              <w:tab/>
              <w:t>=</w:t>
            </w:r>
            <w:r w:rsidRPr="00E331FB">
              <w:rPr>
                <w:color w:val="0000FF"/>
              </w:rPr>
              <w:tab/>
              <w:t>benchmark interest rate for the year of income for which the minimum yearly repayment is being worked out</w:t>
            </w:r>
          </w:p>
          <w:p w:rsidR="00EF4EC1" w:rsidRPr="00E331FB" w:rsidRDefault="00EF4EC1" w:rsidP="00EF4EC1">
            <w:pPr>
              <w:pStyle w:val="Slide3"/>
              <w:rPr>
                <w:color w:val="0000FF"/>
              </w:rPr>
            </w:pPr>
            <w:r w:rsidRPr="00E331FB">
              <w:rPr>
                <w:color w:val="0000FF"/>
              </w:rPr>
              <w:t>y</w:t>
            </w:r>
            <w:r w:rsidRPr="00E331FB">
              <w:rPr>
                <w:color w:val="0000FF"/>
                <w:vertAlign w:val="subscript"/>
              </w:rPr>
              <w:t>2</w:t>
            </w:r>
            <w:r w:rsidRPr="00E331FB">
              <w:rPr>
                <w:color w:val="0000FF"/>
              </w:rPr>
              <w:tab/>
              <w:t>=</w:t>
            </w:r>
            <w:r w:rsidRPr="00E331FB">
              <w:rPr>
                <w:color w:val="0000FF"/>
              </w:rPr>
              <w:tab/>
              <w:t>number of years in the longest term of any of the constituent loans that the amalgamated loan takes account of</w:t>
            </w:r>
          </w:p>
          <w:p w:rsidR="00EF4EC1" w:rsidRPr="00E331FB" w:rsidRDefault="00EF4EC1" w:rsidP="00EF4EC1">
            <w:pPr>
              <w:pStyle w:val="Slide3"/>
              <w:rPr>
                <w:color w:val="0000FF"/>
              </w:rPr>
            </w:pPr>
            <w:r w:rsidRPr="00E331FB">
              <w:rPr>
                <w:color w:val="0000FF"/>
              </w:rPr>
              <w:t>y</w:t>
            </w:r>
            <w:r w:rsidRPr="00E331FB">
              <w:rPr>
                <w:color w:val="0000FF"/>
                <w:vertAlign w:val="subscript"/>
              </w:rPr>
              <w:t>1</w:t>
            </w:r>
            <w:r w:rsidRPr="00E331FB">
              <w:rPr>
                <w:color w:val="0000FF"/>
              </w:rPr>
              <w:tab/>
              <w:t>=</w:t>
            </w:r>
            <w:r w:rsidRPr="00E331FB">
              <w:rPr>
                <w:color w:val="0000FF"/>
              </w:rPr>
              <w:tab/>
              <w:t>number of years between the end of the private company’s year of income in which the loan was made and the end of the private company’s year of income before the year of income for which the minimum yearly repayment is being worked out.</w:t>
            </w:r>
          </w:p>
        </w:tc>
      </w:tr>
    </w:tbl>
    <w:p w:rsidR="00EF4EC1" w:rsidRPr="00B366FB" w:rsidRDefault="00EF4EC1" w:rsidP="00EF4EC1">
      <w:pPr>
        <w:pStyle w:val="Heading4"/>
      </w:pPr>
      <w:bookmarkStart w:id="169" w:name="_Toc477006919"/>
      <w:bookmarkStart w:id="170" w:name="_Toc477006979"/>
      <w:bookmarkStart w:id="171" w:name="_Toc477159617"/>
      <w:r w:rsidRPr="00B366FB">
        <w:t>Order of calculation</w:t>
      </w:r>
      <w:bookmarkEnd w:id="169"/>
      <w:bookmarkEnd w:id="170"/>
      <w:bookmarkEnd w:id="171"/>
    </w:p>
    <w:p w:rsidR="00EF4EC1" w:rsidRPr="007D7133" w:rsidRDefault="00EF4EC1" w:rsidP="00EF4EC1">
      <w:pPr>
        <w:pStyle w:val="Normaltext1"/>
      </w:pPr>
      <w:r w:rsidRPr="007D7133">
        <w:t>There is a mathematical convention about the order in which mathematical operations should be carried out. That is, a formula should be resolved:</w:t>
      </w:r>
    </w:p>
    <w:p w:rsidR="00EF4EC1" w:rsidRPr="00CC4A36" w:rsidRDefault="00EF4EC1" w:rsidP="00EF4EC1">
      <w:pPr>
        <w:pStyle w:val="Normaltext2"/>
      </w:pPr>
      <w:r w:rsidRPr="00CC4A36">
        <w:rPr>
          <w:b/>
          <w:sz w:val="26"/>
        </w:rPr>
        <w:t>P</w:t>
      </w:r>
      <w:r w:rsidRPr="00CC4A36">
        <w:t>arentheses first (and if parentheses are enclosed within other parentheses, work from the inside out), then</w:t>
      </w:r>
    </w:p>
    <w:p w:rsidR="00EF4EC1" w:rsidRPr="00CC4A36" w:rsidRDefault="00EF4EC1" w:rsidP="00EF4EC1">
      <w:pPr>
        <w:pStyle w:val="Normaltext2"/>
      </w:pPr>
      <w:r w:rsidRPr="00CC4A36">
        <w:rPr>
          <w:b/>
          <w:sz w:val="26"/>
        </w:rPr>
        <w:t>E</w:t>
      </w:r>
      <w:r w:rsidRPr="00CC4A36">
        <w:t>xponents, then</w:t>
      </w:r>
    </w:p>
    <w:p w:rsidR="00EF4EC1" w:rsidRPr="00CC4A36" w:rsidRDefault="00EF4EC1" w:rsidP="00EF4EC1">
      <w:pPr>
        <w:pStyle w:val="Normaltext2"/>
      </w:pPr>
      <w:r w:rsidRPr="00CC4A36">
        <w:rPr>
          <w:b/>
          <w:sz w:val="26"/>
        </w:rPr>
        <w:t>M</w:t>
      </w:r>
      <w:r w:rsidRPr="00CC4A36">
        <w:t xml:space="preserve">ultiplication and </w:t>
      </w:r>
      <w:r w:rsidRPr="00CC4A36">
        <w:rPr>
          <w:b/>
          <w:sz w:val="26"/>
        </w:rPr>
        <w:t>D</w:t>
      </w:r>
      <w:r w:rsidRPr="00CC4A36">
        <w:t>ivision (from left to right), then</w:t>
      </w:r>
    </w:p>
    <w:p w:rsidR="00EF4EC1" w:rsidRPr="00CC4A36" w:rsidRDefault="00EF4EC1" w:rsidP="00EF4EC1">
      <w:pPr>
        <w:pStyle w:val="Normaltext2"/>
      </w:pPr>
      <w:r w:rsidRPr="00CC4A36">
        <w:rPr>
          <w:b/>
          <w:sz w:val="26"/>
        </w:rPr>
        <w:t>A</w:t>
      </w:r>
      <w:r w:rsidRPr="00CC4A36">
        <w:t xml:space="preserve">ddition and </w:t>
      </w:r>
      <w:r w:rsidRPr="00CC4A36">
        <w:rPr>
          <w:b/>
          <w:sz w:val="26"/>
        </w:rPr>
        <w:t>S</w:t>
      </w:r>
      <w:r w:rsidRPr="00CC4A36">
        <w:t>ubtraction (from left to right).</w:t>
      </w:r>
    </w:p>
    <w:p w:rsidR="00EF4EC1" w:rsidRPr="007D7133" w:rsidRDefault="00EF4EC1" w:rsidP="00EF4EC1">
      <w:pPr>
        <w:pStyle w:val="Normaltext1"/>
      </w:pPr>
      <w:r w:rsidRPr="007D7133">
        <w:t>(Sometimes known as “</w:t>
      </w:r>
      <w:r w:rsidRPr="00CC4A36">
        <w:rPr>
          <w:b/>
        </w:rPr>
        <w:t>P</w:t>
      </w:r>
      <w:r w:rsidRPr="007D7133">
        <w:t xml:space="preserve">lease </w:t>
      </w:r>
      <w:r w:rsidRPr="004A0C62">
        <w:rPr>
          <w:b/>
        </w:rPr>
        <w:t>E</w:t>
      </w:r>
      <w:r w:rsidRPr="007D7133">
        <w:t xml:space="preserve">xcuse </w:t>
      </w:r>
      <w:r w:rsidRPr="00CC4A36">
        <w:rPr>
          <w:b/>
        </w:rPr>
        <w:t>m</w:t>
      </w:r>
      <w:r w:rsidRPr="007D7133">
        <w:t xml:space="preserve">y </w:t>
      </w:r>
      <w:r w:rsidRPr="00CC4A36">
        <w:rPr>
          <w:b/>
        </w:rPr>
        <w:t>d</w:t>
      </w:r>
      <w:r w:rsidRPr="007D7133">
        <w:t xml:space="preserve">ear </w:t>
      </w:r>
      <w:r w:rsidRPr="00CC4A36">
        <w:rPr>
          <w:b/>
        </w:rPr>
        <w:t>A</w:t>
      </w:r>
      <w:r w:rsidRPr="007D7133">
        <w:t xml:space="preserve">unt </w:t>
      </w:r>
      <w:r w:rsidRPr="00CC4A36">
        <w:rPr>
          <w:b/>
        </w:rPr>
        <w:t>S</w:t>
      </w:r>
      <w:r w:rsidRPr="007D7133">
        <w:t>ally”.)</w:t>
      </w:r>
    </w:p>
    <w:p w:rsidR="00EF4EC1" w:rsidRPr="007D7133" w:rsidRDefault="00EF4EC1" w:rsidP="00EF4EC1">
      <w:pPr>
        <w:pStyle w:val="Normaltext1"/>
      </w:pPr>
      <w:r w:rsidRPr="007D7133">
        <w:t xml:space="preserve">When constructing a formula, </w:t>
      </w:r>
      <w:r>
        <w:t>legislative counsel</w:t>
      </w:r>
      <w:r w:rsidRPr="007D7133">
        <w:t xml:space="preserve"> can rely on this convention, although it might be helpful to readers to use brackets clarifying the order of some operations.</w:t>
      </w:r>
    </w:p>
    <w:p w:rsidR="00EF4EC1" w:rsidRPr="00C80BD9" w:rsidRDefault="00EF4EC1" w:rsidP="00EF4EC1">
      <w:pPr>
        <w:pStyle w:val="Slidelabel"/>
      </w:pPr>
      <w:r w:rsidRPr="00C80BD9">
        <w:lastRenderedPageBreak/>
        <w:t>Order of calculation</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rPr>
          <w:cantSplit/>
        </w:trPr>
        <w:tc>
          <w:tcPr>
            <w:tcW w:w="8505" w:type="dxa"/>
            <w:shd w:val="clear" w:color="auto" w:fill="FFFFFF"/>
          </w:tcPr>
          <w:p w:rsidR="00EF4EC1" w:rsidRPr="00E331FB" w:rsidRDefault="00EF4EC1" w:rsidP="00EF4EC1">
            <w:pPr>
              <w:pStyle w:val="SlideEquation"/>
              <w:rPr>
                <w:color w:val="0000FF"/>
              </w:rPr>
            </w:pPr>
            <m:oMathPara>
              <m:oMathParaPr>
                <m:jc m:val="left"/>
              </m:oMathParaPr>
              <m:oMath>
                <m:r>
                  <m:rPr>
                    <m:nor/>
                  </m:rPr>
                  <w:rPr>
                    <w:color w:val="0000FF"/>
                  </w:rPr>
                  <m:t>s</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a</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b</m:t>
                </m:r>
                <m:r>
                  <m:rPr>
                    <m:sty m:val="p"/>
                  </m:rPr>
                  <w:rPr>
                    <w:rFonts w:ascii="Cambria Math" w:hAnsi="Cambria Math"/>
                    <w:color w:val="0000FF"/>
                  </w:rPr>
                  <m:t>-</m:t>
                </m:r>
                <m:r>
                  <m:rPr>
                    <m:nor/>
                  </m:rPr>
                  <w:rPr>
                    <w:color w:val="0000FF"/>
                  </w:rPr>
                  <m:t>c</m:t>
                </m:r>
                <m:r>
                  <m:rPr>
                    <m:nor/>
                  </m:rPr>
                  <w:rPr>
                    <w:rFonts w:ascii="Cambria Math"/>
                    <w:color w:val="0000FF"/>
                  </w:rPr>
                  <m:t xml:space="preserve"> </m:t>
                </m:r>
                <m:r>
                  <m:rPr>
                    <m:nor/>
                  </m:rPr>
                  <w:rPr>
                    <w:rFonts w:ascii="Cambria Math" w:hAnsi="Cambria Math"/>
                    <w:color w:val="0000FF"/>
                  </w:rPr>
                  <m:t>×</m:t>
                </m:r>
                <m:r>
                  <m:rPr>
                    <m:nor/>
                  </m:rPr>
                  <w:rPr>
                    <w:color w:val="0000FF"/>
                  </w:rPr>
                  <m:t xml:space="preserve"> d</m:t>
                </m:r>
              </m:oMath>
            </m:oMathPara>
          </w:p>
          <w:p w:rsidR="00EF4EC1" w:rsidRPr="00E331FB" w:rsidRDefault="00EF4EC1" w:rsidP="00EF4EC1">
            <w:pPr>
              <w:pStyle w:val="Slide2"/>
              <w:rPr>
                <w:i/>
                <w:color w:val="0000FF"/>
              </w:rPr>
            </w:pPr>
            <w:r w:rsidRPr="00E331FB">
              <w:rPr>
                <w:i/>
                <w:color w:val="0000FF"/>
              </w:rPr>
              <w:t>According to Aunt Sally, this would be worked out as:</w:t>
            </w:r>
          </w:p>
          <w:p w:rsidR="00EF4EC1" w:rsidRPr="00E331FB" w:rsidRDefault="00EF4EC1" w:rsidP="00EF4EC1">
            <w:pPr>
              <w:pStyle w:val="Slide2"/>
              <w:ind w:left="850" w:hanging="850"/>
              <w:rPr>
                <w:color w:val="0000FF"/>
              </w:rPr>
            </w:pPr>
            <m:oMathPara>
              <m:oMathParaPr>
                <m:jc m:val="left"/>
              </m:oMathParaPr>
              <m:oMath>
                <m:r>
                  <m:rPr>
                    <m:nor/>
                  </m:rPr>
                  <w:rPr>
                    <w:color w:val="0000FF"/>
                  </w:rPr>
                  <m:t>a</m:t>
                </m:r>
                <m:r>
                  <m:rPr>
                    <m:nor/>
                  </m:rPr>
                  <w:rPr>
                    <w:rFonts w:ascii="Cambria Math"/>
                    <w:color w:val="0000FF"/>
                  </w:rPr>
                  <m:t xml:space="preserve"> </m:t>
                </m:r>
                <m:r>
                  <m:rPr>
                    <m:nor/>
                  </m:rPr>
                  <w:rPr>
                    <w:rFonts w:ascii="Cambria Math" w:hAnsi="Cambria Math"/>
                    <w:color w:val="0000FF"/>
                  </w:rPr>
                  <m:t>×</m:t>
                </m:r>
                <m:r>
                  <m:rPr>
                    <m:nor/>
                  </m:rPr>
                  <w:rPr>
                    <w:color w:val="0000FF"/>
                  </w:rPr>
                  <m:t xml:space="preserve"> b</m:t>
                </m:r>
              </m:oMath>
            </m:oMathPara>
          </w:p>
          <w:p w:rsidR="00EF4EC1" w:rsidRPr="00E331FB" w:rsidRDefault="00EF4EC1" w:rsidP="00EF4EC1">
            <w:pPr>
              <w:pStyle w:val="Slide2"/>
              <w:ind w:left="850" w:hanging="850"/>
              <w:rPr>
                <w:color w:val="0000FF"/>
                <w:oMath/>
              </w:rPr>
            </w:pPr>
            <w:r w:rsidRPr="00E331FB">
              <w:rPr>
                <w:i/>
                <w:color w:val="0000FF"/>
              </w:rPr>
              <w:t>then</w:t>
            </w:r>
            <w:r w:rsidRPr="00E331FB">
              <w:rPr>
                <w:color w:val="0000FF"/>
              </w:rPr>
              <w:tab/>
            </w:r>
            <m:oMath>
              <m:r>
                <m:rPr>
                  <m:nor/>
                </m:rPr>
                <w:rPr>
                  <w:color w:val="0000FF"/>
                </w:rPr>
                <m:t>c</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d</m:t>
              </m:r>
            </m:oMath>
          </w:p>
          <w:p w:rsidR="00EF4EC1" w:rsidRPr="00E331FB" w:rsidRDefault="00EF4EC1" w:rsidP="00EF4EC1">
            <w:pPr>
              <w:pStyle w:val="Slide2"/>
              <w:ind w:left="850" w:hanging="850"/>
              <w:rPr>
                <w:color w:val="0000FF"/>
              </w:rPr>
            </w:pPr>
            <w:r w:rsidRPr="00E331FB">
              <w:rPr>
                <w:i/>
                <w:color w:val="0000FF"/>
              </w:rPr>
              <w:t xml:space="preserve">then </w:t>
            </w:r>
            <w:r w:rsidRPr="00E331FB">
              <w:rPr>
                <w:color w:val="0000FF"/>
              </w:rPr>
              <w:tab/>
              <w:t>subtract the latter from the former.</w:t>
            </w:r>
          </w:p>
          <w:p w:rsidR="00EF4EC1" w:rsidRPr="00E331FB" w:rsidRDefault="00EF4EC1" w:rsidP="00EF4EC1">
            <w:pPr>
              <w:pStyle w:val="Slide2"/>
              <w:rPr>
                <w:i/>
                <w:color w:val="0000FF"/>
              </w:rPr>
            </w:pPr>
            <w:r w:rsidRPr="00E331FB">
              <w:rPr>
                <w:i/>
                <w:color w:val="0000FF"/>
              </w:rPr>
              <w:t>Brackets aren’t necessary, but including them might be helpful:</w:t>
            </w:r>
          </w:p>
          <w:p w:rsidR="00EF4EC1" w:rsidRPr="00E331FB" w:rsidRDefault="00EF4EC1" w:rsidP="00EF4EC1">
            <w:pPr>
              <w:pStyle w:val="SlideEquation"/>
              <w:rPr>
                <w:color w:val="0000FF"/>
              </w:rPr>
            </w:pPr>
            <m:oMath>
              <m:r>
                <m:rPr>
                  <m:nor/>
                </m:rPr>
                <w:rPr>
                  <w:color w:val="0000FF"/>
                </w:rPr>
                <m:t>s</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color w:val="0000FF"/>
                    </w:rPr>
                  </m:ctrlPr>
                </m:dPr>
                <m:e>
                  <m:r>
                    <m:rPr>
                      <m:nor/>
                    </m:rPr>
                    <w:rPr>
                      <w:color w:val="0000FF"/>
                    </w:rPr>
                    <m:t>a</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b</m:t>
                  </m:r>
                </m:e>
              </m:d>
              <m:r>
                <m:rPr>
                  <m:sty m:val="p"/>
                </m:rPr>
                <w:rPr>
                  <w:rFonts w:ascii="Cambria Math" w:hAnsi="Cambria Math"/>
                  <w:color w:val="0000FF"/>
                </w:rPr>
                <m:t>-</m:t>
              </m:r>
              <m:d>
                <m:dPr>
                  <m:ctrlPr>
                    <w:rPr>
                      <w:rFonts w:ascii="Cambria Math" w:hAnsi="Cambria Math"/>
                      <w:color w:val="0000FF"/>
                    </w:rPr>
                  </m:ctrlPr>
                </m:dPr>
                <m:e>
                  <m:r>
                    <m:rPr>
                      <m:nor/>
                    </m:rPr>
                    <w:rPr>
                      <w:color w:val="0000FF"/>
                    </w:rPr>
                    <m:t>c</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d</m:t>
                  </m:r>
                </m:e>
              </m:d>
            </m:oMath>
            <w:r w:rsidRPr="00E331FB">
              <w:rPr>
                <w:noProof/>
                <w:color w:val="0000FF"/>
              </w:rPr>
              <w:t xml:space="preserve"> </w:t>
            </w:r>
          </w:p>
        </w:tc>
      </w:tr>
    </w:tbl>
    <w:p w:rsidR="00EF4EC1" w:rsidRPr="007D7133" w:rsidRDefault="00EF4EC1" w:rsidP="00EF4EC1">
      <w:pPr>
        <w:pStyle w:val="Normaltext1"/>
      </w:pPr>
      <w:r w:rsidRPr="007D7133">
        <w:t xml:space="preserve">If there are 2 or more sets of brackets inside each other, they are resolved from the inside outwards. It is helpful to use different kinds of brackets for each level of parenthesis. The usual sequence is first (   ) ,  then [   ] </w:t>
      </w:r>
      <w:r>
        <w:t xml:space="preserve"> and</w:t>
      </w:r>
      <w:r w:rsidRPr="007D7133">
        <w:t xml:space="preserve"> then {   }.</w:t>
      </w:r>
    </w:p>
    <w:p w:rsidR="00EF4EC1" w:rsidRPr="00C80BD9" w:rsidRDefault="00EF4EC1" w:rsidP="00EF4EC1">
      <w:pPr>
        <w:pStyle w:val="Slidelabel"/>
      </w:pPr>
      <w:r w:rsidRPr="00C80BD9">
        <w:t>Brackets</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C80BD9" w:rsidTr="00EF4EC1">
        <w:tc>
          <w:tcPr>
            <w:tcW w:w="8505" w:type="dxa"/>
            <w:shd w:val="clear" w:color="auto" w:fill="FFFFFF"/>
          </w:tcPr>
          <w:p w:rsidR="00EF4EC1" w:rsidRPr="00E331FB" w:rsidRDefault="00EF4EC1" w:rsidP="00EF4EC1">
            <w:pPr>
              <w:pStyle w:val="SlideEquation"/>
              <w:spacing w:after="360"/>
              <w:rPr>
                <w:color w:val="0000FF"/>
                <w:oMath/>
              </w:rPr>
            </w:pPr>
            <m:oMathPara>
              <m:oMathParaPr>
                <m:jc m:val="left"/>
              </m:oMathParaPr>
              <m:oMath>
                <m:r>
                  <m:rPr>
                    <m:nor/>
                  </m:rPr>
                  <w:rPr>
                    <w:color w:val="0000FF"/>
                  </w:rPr>
                  <m:t>t</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color w:val="0000FF"/>
                      </w:rPr>
                    </m:ctrlPr>
                  </m:fPr>
                  <m:num>
                    <m:r>
                      <m:rPr>
                        <m:nor/>
                      </m:rPr>
                      <w:rPr>
                        <w:color w:val="0000FF"/>
                      </w:rPr>
                      <m:t>a</m:t>
                    </m:r>
                    <m:r>
                      <m:rPr>
                        <m:sty m:val="p"/>
                      </m:rPr>
                      <w:rPr>
                        <w:rFonts w:ascii="Cambria Math" w:hAnsi="Cambria Math"/>
                        <w:color w:val="0000FF"/>
                      </w:rPr>
                      <m:t>-</m:t>
                    </m:r>
                    <m:r>
                      <m:rPr>
                        <m:nor/>
                      </m:rPr>
                      <w:rPr>
                        <w:color w:val="0000FF"/>
                      </w:rPr>
                      <m:t>b</m:t>
                    </m:r>
                  </m:num>
                  <m:den>
                    <m:r>
                      <m:rPr>
                        <m:nor/>
                      </m:rPr>
                      <w:rPr>
                        <w:color w:val="0000FF"/>
                      </w:rPr>
                      <m:t>c</m:t>
                    </m:r>
                  </m:den>
                </m:f>
              </m:oMath>
            </m:oMathPara>
          </w:p>
          <w:p w:rsidR="00EF4EC1" w:rsidRPr="00E331FB" w:rsidRDefault="00EF4EC1" w:rsidP="00EF4EC1">
            <w:pPr>
              <w:pStyle w:val="SlideEquation"/>
              <w:spacing w:after="360"/>
              <w:rPr>
                <w:color w:val="0000FF"/>
                <w:oMath/>
              </w:rPr>
            </w:pPr>
            <m:oMathPara>
              <m:oMathParaPr>
                <m:jc m:val="left"/>
              </m:oMathParaPr>
              <m:oMath>
                <m:r>
                  <m:rPr>
                    <m:nor/>
                  </m:rPr>
                  <w:rPr>
                    <w:color w:val="0000FF"/>
                  </w:rPr>
                  <m:t>t</m:t>
                </m:r>
                <m:r>
                  <m:rPr>
                    <m:nor/>
                  </m:rPr>
                  <w:rPr>
                    <w:rFonts w:ascii="Cambria Math"/>
                    <w:color w:val="0000FF"/>
                  </w:rPr>
                  <m:t xml:space="preserve"> </m:t>
                </m:r>
                <m:r>
                  <m:rPr>
                    <m:nor/>
                  </m:rPr>
                  <w:rPr>
                    <w:color w:val="0000FF"/>
                  </w:rPr>
                  <m:t>=</m:t>
                </m:r>
                <m:r>
                  <m:rPr>
                    <m:nor/>
                  </m:rPr>
                  <w:rPr>
                    <w:rFonts w:ascii="Cambria Math"/>
                    <w:color w:val="0000FF"/>
                  </w:rPr>
                  <m:t xml:space="preserve"> </m:t>
                </m:r>
                <m:f>
                  <m:fPr>
                    <m:ctrlPr>
                      <w:rPr>
                        <w:rFonts w:ascii="Cambria Math" w:hAnsi="Cambria Math"/>
                        <w:color w:val="0000FF"/>
                      </w:rPr>
                    </m:ctrlPr>
                  </m:fPr>
                  <m:num>
                    <m:d>
                      <m:dPr>
                        <m:ctrlPr>
                          <w:rPr>
                            <w:rFonts w:ascii="Cambria Math" w:hAnsi="Cambria Math"/>
                            <w:color w:val="0000FF"/>
                          </w:rPr>
                        </m:ctrlPr>
                      </m:dPr>
                      <m:e>
                        <m:r>
                          <m:rPr>
                            <m:nor/>
                          </m:rPr>
                          <w:rPr>
                            <w:color w:val="0000FF"/>
                          </w:rPr>
                          <m:t>a</m:t>
                        </m:r>
                        <m:r>
                          <m:rPr>
                            <m:sty m:val="p"/>
                          </m:rPr>
                          <w:rPr>
                            <w:rFonts w:ascii="Cambria Math" w:hAnsi="Cambria Math"/>
                            <w:color w:val="0000FF"/>
                          </w:rPr>
                          <m:t>-</m:t>
                        </m:r>
                        <m:r>
                          <m:rPr>
                            <m:nor/>
                          </m:rPr>
                          <w:rPr>
                            <w:color w:val="0000FF"/>
                          </w:rPr>
                          <m:t>b</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c</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d</m:t>
                        </m:r>
                      </m:e>
                    </m:d>
                  </m:num>
                  <m:den>
                    <m:r>
                      <m:rPr>
                        <m:nor/>
                      </m:rPr>
                      <w:rPr>
                        <w:color w:val="0000FF"/>
                      </w:rPr>
                      <m:t>e</m:t>
                    </m:r>
                  </m:den>
                </m:f>
              </m:oMath>
            </m:oMathPara>
          </w:p>
          <w:p w:rsidR="00EF4EC1" w:rsidRPr="00E331FB" w:rsidRDefault="00EF4EC1" w:rsidP="00EF4EC1">
            <w:pPr>
              <w:pStyle w:val="SlideEquation"/>
              <w:spacing w:after="360"/>
              <w:rPr>
                <w:color w:val="0000FF"/>
                <w:oMath/>
              </w:rPr>
            </w:pPr>
            <m:oMathPara>
              <m:oMathParaPr>
                <m:jc m:val="left"/>
              </m:oMathParaPr>
              <m:oMath>
                <m:r>
                  <m:rPr>
                    <m:nor/>
                  </m:rPr>
                  <w:rPr>
                    <w:color w:val="0000FF"/>
                  </w:rPr>
                  <m:t>t</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color w:val="0000FF"/>
                      </w:rPr>
                    </m:ctrlPr>
                  </m:dPr>
                  <m:e>
                    <m:f>
                      <m:fPr>
                        <m:ctrlPr>
                          <w:rPr>
                            <w:rFonts w:ascii="Cambria Math" w:hAnsi="Cambria Math"/>
                            <w:color w:val="0000FF"/>
                          </w:rPr>
                        </m:ctrlPr>
                      </m:fPr>
                      <m:num>
                        <m:d>
                          <m:dPr>
                            <m:ctrlPr>
                              <w:rPr>
                                <w:rFonts w:ascii="Cambria Math" w:hAnsi="Cambria Math"/>
                                <w:color w:val="0000FF"/>
                              </w:rPr>
                            </m:ctrlPr>
                          </m:dPr>
                          <m:e>
                            <m:r>
                              <m:rPr>
                                <m:nor/>
                              </m:rPr>
                              <w:rPr>
                                <w:color w:val="0000FF"/>
                              </w:rPr>
                              <m:t>a</m:t>
                            </m:r>
                            <m:r>
                              <m:rPr>
                                <m:sty m:val="p"/>
                              </m:rPr>
                              <w:rPr>
                                <w:rFonts w:ascii="Cambria Math" w:hAnsi="Cambria Math"/>
                                <w:color w:val="0000FF"/>
                              </w:rPr>
                              <m:t>-</m:t>
                            </m:r>
                            <m:r>
                              <m:rPr>
                                <m:nor/>
                              </m:rPr>
                              <w:rPr>
                                <w:color w:val="0000FF"/>
                              </w:rPr>
                              <m:t>b</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c</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d</m:t>
                            </m:r>
                          </m:e>
                        </m:d>
                      </m:num>
                      <m:den>
                        <m:r>
                          <m:rPr>
                            <m:nor/>
                          </m:rPr>
                          <w:rPr>
                            <w:color w:val="0000FF"/>
                          </w:rPr>
                          <m:t>e</m:t>
                        </m:r>
                      </m:den>
                    </m:f>
                  </m:e>
                </m:d>
                <m:r>
                  <m:rPr>
                    <m:nor/>
                  </m:rPr>
                  <w:rPr>
                    <w:color w:val="0000FF"/>
                  </w:rPr>
                  <m:t xml:space="preserve"> </m:t>
                </m:r>
                <m:r>
                  <m:rPr>
                    <m:nor/>
                  </m:rPr>
                  <w:rPr>
                    <w:rFonts w:ascii="Cambria Math" w:hAnsi="Cambria Math"/>
                    <w:color w:val="0000FF"/>
                  </w:rPr>
                  <m:t>×</m:t>
                </m:r>
                <m:r>
                  <m:rPr>
                    <m:nor/>
                  </m:rPr>
                  <w:rPr>
                    <w:color w:val="0000FF"/>
                  </w:rPr>
                  <m:t xml:space="preserve"> </m:t>
                </m:r>
                <m:d>
                  <m:dPr>
                    <m:ctrlPr>
                      <w:rPr>
                        <w:rFonts w:ascii="Cambria Math" w:hAnsi="Cambria Math"/>
                        <w:i/>
                        <w:color w:val="0000FF"/>
                      </w:rPr>
                    </m:ctrlPr>
                  </m:dPr>
                  <m:e>
                    <m:r>
                      <m:rPr>
                        <m:nor/>
                      </m:rPr>
                      <w:rPr>
                        <w:color w:val="0000FF"/>
                      </w:rPr>
                      <m:t>f</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g</m:t>
                    </m:r>
                  </m:e>
                </m:d>
              </m:oMath>
            </m:oMathPara>
          </w:p>
          <w:p w:rsidR="00EF4EC1" w:rsidRPr="00E331FB" w:rsidRDefault="00EF4EC1" w:rsidP="00EF4EC1">
            <w:pPr>
              <w:pStyle w:val="SlideEquation"/>
              <w:spacing w:after="360"/>
              <w:rPr>
                <w:rFonts w:eastAsia="Times New Roman"/>
                <w:color w:val="0000FF"/>
              </w:rPr>
            </w:pPr>
            <m:oMathPara>
              <m:oMathParaPr>
                <m:jc m:val="left"/>
              </m:oMathParaPr>
              <m:oMath>
                <m:r>
                  <m:rPr>
                    <m:nor/>
                  </m:rPr>
                  <w:rPr>
                    <w:color w:val="0000FF"/>
                  </w:rPr>
                  <m:t>t</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color w:val="0000FF"/>
                      </w:rPr>
                    </m:ctrlPr>
                  </m:dPr>
                  <m:e>
                    <m:r>
                      <w:rPr>
                        <w:rFonts w:ascii="Cambria Math" w:hAnsi="Cambria Math"/>
                        <w:color w:val="0000FF"/>
                      </w:rPr>
                      <m:t xml:space="preserve"> </m:t>
                    </m:r>
                    <m:d>
                      <m:dPr>
                        <m:begChr m:val="["/>
                        <m:endChr m:val="]"/>
                        <m:ctrlPr>
                          <w:rPr>
                            <w:rFonts w:ascii="Cambria Math" w:hAnsi="Cambria Math"/>
                            <w:color w:val="0000FF"/>
                          </w:rPr>
                        </m:ctrlPr>
                      </m:dPr>
                      <m:e>
                        <m:f>
                          <m:fPr>
                            <m:ctrlPr>
                              <w:rPr>
                                <w:rFonts w:ascii="Cambria Math" w:hAnsi="Cambria Math"/>
                                <w:color w:val="0000FF"/>
                              </w:rPr>
                            </m:ctrlPr>
                          </m:fPr>
                          <m:num>
                            <m:d>
                              <m:dPr>
                                <m:ctrlPr>
                                  <w:rPr>
                                    <w:rFonts w:ascii="Cambria Math" w:hAnsi="Cambria Math"/>
                                    <w:color w:val="0000FF"/>
                                  </w:rPr>
                                </m:ctrlPr>
                              </m:dPr>
                              <m:e>
                                <m:r>
                                  <m:rPr>
                                    <m:nor/>
                                  </m:rPr>
                                  <w:rPr>
                                    <w:color w:val="0000FF"/>
                                  </w:rPr>
                                  <m:t>a</m:t>
                                </m:r>
                                <m:r>
                                  <m:rPr>
                                    <m:sty m:val="p"/>
                                  </m:rPr>
                                  <w:rPr>
                                    <w:rFonts w:ascii="Cambria Math" w:hAnsi="Cambria Math"/>
                                    <w:color w:val="0000FF"/>
                                  </w:rPr>
                                  <m:t>-</m:t>
                                </m:r>
                                <m:r>
                                  <m:rPr>
                                    <m:nor/>
                                  </m:rPr>
                                  <w:rPr>
                                    <w:color w:val="0000FF"/>
                                  </w:rPr>
                                  <m:t>b</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c</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d</m:t>
                                </m:r>
                              </m:e>
                            </m:d>
                          </m:num>
                          <m:den>
                            <m:r>
                              <m:rPr>
                                <m:nor/>
                              </m:rPr>
                              <w:rPr>
                                <w:color w:val="0000FF"/>
                              </w:rPr>
                              <m:t>e</m:t>
                            </m:r>
                          </m:den>
                        </m:f>
                      </m:e>
                    </m:d>
                    <m:r>
                      <m:rPr>
                        <m:nor/>
                      </m:rPr>
                      <w:rPr>
                        <w:color w:val="0000FF"/>
                      </w:rPr>
                      <m:t xml:space="preserve"> </m:t>
                    </m:r>
                    <m:r>
                      <m:rPr>
                        <m:nor/>
                      </m:rPr>
                      <w:rPr>
                        <w:rFonts w:ascii="Cambria Math" w:hAnsi="Cambria Math"/>
                        <w:color w:val="0000FF"/>
                      </w:rPr>
                      <m:t>×</m:t>
                    </m:r>
                    <m:r>
                      <m:rPr>
                        <m:nor/>
                      </m:rPr>
                      <w:rPr>
                        <w:color w:val="0000FF"/>
                      </w:rPr>
                      <m:t xml:space="preserve"> </m:t>
                    </m:r>
                    <m:d>
                      <m:dPr>
                        <m:ctrlPr>
                          <w:rPr>
                            <w:rFonts w:ascii="Cambria Math" w:hAnsi="Cambria Math"/>
                            <w:i/>
                            <w:color w:val="0000FF"/>
                          </w:rPr>
                        </m:ctrlPr>
                      </m:dPr>
                      <m:e>
                        <m:r>
                          <m:rPr>
                            <m:nor/>
                          </m:rPr>
                          <w:rPr>
                            <w:color w:val="0000FF"/>
                          </w:rPr>
                          <m:t>f</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g</m:t>
                        </m:r>
                      </m:e>
                    </m:d>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begChr m:val="["/>
                    <m:endChr m:val="]"/>
                    <m:ctrlPr>
                      <w:rPr>
                        <w:rFonts w:ascii="Cambria Math" w:hAnsi="Cambria Math"/>
                        <w:color w:val="0000FF"/>
                      </w:rPr>
                    </m:ctrlPr>
                  </m:dPr>
                  <m:e>
                    <m:r>
                      <m:rPr>
                        <m:nor/>
                      </m:rPr>
                      <w:rPr>
                        <w:color w:val="0000FF"/>
                      </w:rPr>
                      <m:t>h</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d>
                          <m:dPr>
                            <m:ctrlPr>
                              <w:rPr>
                                <w:rFonts w:ascii="Cambria Math" w:hAnsi="Cambria Math"/>
                                <w:i/>
                                <w:color w:val="0000FF"/>
                              </w:rPr>
                            </m:ctrlPr>
                          </m:dPr>
                          <m:e>
                            <m:r>
                              <m:rPr>
                                <m:nor/>
                              </m:rPr>
                              <w:rPr>
                                <w:color w:val="0000FF"/>
                              </w:rPr>
                              <m:t>j</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k</m:t>
                            </m:r>
                          </m:e>
                        </m:d>
                      </m:num>
                      <m:den>
                        <m:r>
                          <m:rPr>
                            <m:nor/>
                          </m:rPr>
                          <w:rPr>
                            <w:color w:val="0000FF"/>
                          </w:rPr>
                          <m:t>m</m:t>
                        </m:r>
                      </m:den>
                    </m:f>
                  </m:e>
                </m:d>
              </m:oMath>
            </m:oMathPara>
          </w:p>
        </w:tc>
      </w:tr>
    </w:tbl>
    <w:p w:rsidR="00EF4EC1" w:rsidRPr="00C87EB4" w:rsidRDefault="00EF4EC1" w:rsidP="00EF4EC1">
      <w:pPr>
        <w:pStyle w:val="Heading3"/>
      </w:pPr>
      <w:bookmarkStart w:id="172" w:name="_Toc477006920"/>
      <w:bookmarkStart w:id="173" w:name="_Toc477006980"/>
      <w:bookmarkStart w:id="174" w:name="_Toc477159618"/>
      <w:bookmarkStart w:id="175" w:name="_Toc500060175"/>
      <w:bookmarkStart w:id="176" w:name="_Toc501713644"/>
      <w:bookmarkStart w:id="177" w:name="_Toc501713783"/>
      <w:bookmarkStart w:id="178" w:name="_Toc503170533"/>
      <w:bookmarkStart w:id="179" w:name="_Toc503290252"/>
      <w:bookmarkStart w:id="180" w:name="_Toc504579916"/>
      <w:r w:rsidRPr="00C87EB4">
        <w:t>The formula, the whole formula</w:t>
      </w:r>
      <w:r>
        <w:t xml:space="preserve"> and</w:t>
      </w:r>
      <w:r w:rsidRPr="00C87EB4">
        <w:t xml:space="preserve"> nothing but the formula</w:t>
      </w:r>
      <w:bookmarkEnd w:id="172"/>
      <w:bookmarkEnd w:id="173"/>
      <w:bookmarkEnd w:id="174"/>
      <w:bookmarkEnd w:id="175"/>
      <w:bookmarkEnd w:id="176"/>
      <w:bookmarkEnd w:id="177"/>
      <w:bookmarkEnd w:id="178"/>
      <w:bookmarkEnd w:id="179"/>
      <w:bookmarkEnd w:id="180"/>
    </w:p>
    <w:p w:rsidR="00EF4EC1" w:rsidRPr="007D7133" w:rsidRDefault="00EF4EC1" w:rsidP="00EF4EC1">
      <w:pPr>
        <w:pStyle w:val="Normaltext1"/>
      </w:pPr>
      <w:r w:rsidRPr="007D7133">
        <w:t>Consistency in drafting approach will significantly improve comprehension and usability. If all definitions in a law are structured the same way, a reader can tell at a glance which provisions are definitions. If a provision is divided into paragraphs, comprehension will be maximised if each paragraph is of the same general nature and flows correctly from the opening words. Structuring calculations is no different.</w:t>
      </w:r>
    </w:p>
    <w:p w:rsidR="00EF4EC1" w:rsidRPr="007D7133" w:rsidRDefault="00EF4EC1" w:rsidP="00EF4EC1">
      <w:pPr>
        <w:pStyle w:val="Normaltext1"/>
      </w:pPr>
      <w:r w:rsidRPr="007D7133">
        <w:t>So it is suggested that, in writing a calculation, use mathematical notation or words, not a hybrid. For example:</w:t>
      </w:r>
    </w:p>
    <w:p w:rsidR="00EF4EC1" w:rsidRPr="007D7133" w:rsidRDefault="00EF4EC1" w:rsidP="00EF4EC1">
      <w:pPr>
        <w:pStyle w:val="Bullet1"/>
      </w:pPr>
      <w:r w:rsidRPr="007D7133">
        <w:lastRenderedPageBreak/>
        <w:t>avoid including non</w:t>
      </w:r>
      <w:r>
        <w:noBreakHyphen/>
      </w:r>
      <w:r w:rsidRPr="007D7133">
        <w:t>mathematical elements such as units of measurement (see example 11) and rounding (see example 15) in a formula</w:t>
      </w:r>
    </w:p>
    <w:p w:rsidR="00EF4EC1" w:rsidRPr="007D7133" w:rsidRDefault="00EF4EC1" w:rsidP="00EF4EC1">
      <w:pPr>
        <w:pStyle w:val="Bullet1"/>
      </w:pPr>
      <w:r w:rsidRPr="007D7133">
        <w:t>avoid using text as variables (see example 29)</w:t>
      </w:r>
    </w:p>
    <w:p w:rsidR="00EF4EC1" w:rsidRPr="007D7133" w:rsidRDefault="00EF4EC1" w:rsidP="00EF4EC1">
      <w:pPr>
        <w:pStyle w:val="Bullet1"/>
      </w:pPr>
      <w:r w:rsidRPr="007D7133">
        <w:t>avoid mixing non</w:t>
      </w:r>
      <w:r>
        <w:noBreakHyphen/>
      </w:r>
      <w:r w:rsidRPr="007D7133">
        <w:t>mathematical sentence structures (such as paragraphing) into a formula (see example 32).</w:t>
      </w:r>
    </w:p>
    <w:p w:rsidR="00EF4EC1" w:rsidRPr="00DF2FCF" w:rsidRDefault="00EF4EC1" w:rsidP="00EF4EC1">
      <w:pPr>
        <w:pStyle w:val="Slidelabel"/>
      </w:pPr>
      <w:bookmarkStart w:id="181" w:name="_Ref475777989"/>
      <w:r w:rsidRPr="00DF2FCF">
        <w:t>Paragraphing used mid</w:t>
      </w:r>
      <w:r>
        <w:noBreakHyphen/>
      </w:r>
      <w:r w:rsidRPr="00DF2FCF">
        <w:t>formula</w:t>
      </w:r>
      <w:bookmarkEnd w:id="181"/>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DF2FCF" w:rsidTr="00EF4EC1">
        <w:tc>
          <w:tcPr>
            <w:tcW w:w="8505" w:type="dxa"/>
            <w:shd w:val="clear" w:color="auto" w:fill="FFFFFF"/>
          </w:tcPr>
          <w:p w:rsidR="00EF4EC1" w:rsidRPr="00E331FB" w:rsidRDefault="00EF4EC1" w:rsidP="00EF4EC1">
            <w:pPr>
              <w:pStyle w:val="Slide1"/>
              <w:keepNext w:val="0"/>
              <w:rPr>
                <w:color w:val="0000FF"/>
              </w:rPr>
            </w:pPr>
            <w:r w:rsidRPr="00E331FB">
              <w:rPr>
                <w:color w:val="0000FF"/>
              </w:rPr>
              <w:t>53</w:t>
            </w:r>
            <w:r w:rsidRPr="00E331FB">
              <w:rPr>
                <w:color w:val="0000FF"/>
              </w:rPr>
              <w:tab/>
            </w:r>
            <w:r w:rsidRPr="00E331FB">
              <w:rPr>
                <w:color w:val="0000FF"/>
                <w:lang w:eastAsia="en-NZ"/>
              </w:rPr>
              <w:t>Interpretation</w:t>
            </w:r>
          </w:p>
          <w:p w:rsidR="00EF4EC1" w:rsidRPr="00E331FB" w:rsidRDefault="00EF4EC1" w:rsidP="00EF4EC1">
            <w:pPr>
              <w:pStyle w:val="Slide2"/>
              <w:spacing w:after="120"/>
              <w:rPr>
                <w:color w:val="0000FF"/>
              </w:rPr>
            </w:pPr>
            <w:r w:rsidRPr="00E331FB">
              <w:rPr>
                <w:color w:val="0000FF"/>
                <w:lang w:eastAsia="en-NZ"/>
              </w:rPr>
              <w:tab/>
              <w:t>A reference to the "prescribed amount" is, in relation to an employer, a reference to the sum of the amounts calculated in accordance with the following formulae:</w:t>
            </w:r>
            <w:r w:rsidRPr="00E331FB">
              <w:rPr>
                <w:color w:val="0000FF"/>
              </w:rPr>
              <w:t xml:space="preserve"> </w:t>
            </w:r>
          </w:p>
          <w:tbl>
            <w:tblPr>
              <w:tblStyle w:val="TableGrid"/>
              <w:tblW w:w="5727" w:type="dxa"/>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
              <w:gridCol w:w="426"/>
              <w:gridCol w:w="567"/>
              <w:gridCol w:w="3374"/>
              <w:gridCol w:w="567"/>
            </w:tblGrid>
            <w:tr w:rsidR="00EF4EC1" w:rsidRPr="00172784" w:rsidTr="00EF4EC1">
              <w:tc>
                <w:tcPr>
                  <w:tcW w:w="793" w:type="dxa"/>
                  <w:tcBorders>
                    <w:right w:val="single" w:sz="4" w:space="0" w:color="auto"/>
                  </w:tcBorders>
                </w:tcPr>
                <w:p w:rsidR="00EF4EC1" w:rsidRPr="00172784" w:rsidRDefault="00EF4EC1" w:rsidP="00EF4EC1">
                  <w:pPr>
                    <w:pStyle w:val="Slide2"/>
                    <w:ind w:left="0" w:firstLine="0"/>
                    <w:rPr>
                      <w:color w:val="0000FF"/>
                    </w:rPr>
                  </w:pPr>
                </w:p>
              </w:tc>
              <w:tc>
                <w:tcPr>
                  <w:tcW w:w="426" w:type="dxa"/>
                  <w:tcBorders>
                    <w:top w:val="single" w:sz="4" w:space="0" w:color="auto"/>
                    <w:left w:val="single" w:sz="4" w:space="0" w:color="auto"/>
                  </w:tcBorders>
                </w:tcPr>
                <w:p w:rsidR="00EF4EC1" w:rsidRPr="00172784" w:rsidRDefault="00EF4EC1" w:rsidP="00EF4EC1">
                  <w:pPr>
                    <w:pStyle w:val="Slide2"/>
                    <w:ind w:left="0" w:firstLine="0"/>
                    <w:rPr>
                      <w:color w:val="0000FF"/>
                    </w:rPr>
                  </w:pPr>
                </w:p>
              </w:tc>
              <w:tc>
                <w:tcPr>
                  <w:tcW w:w="3941" w:type="dxa"/>
                  <w:gridSpan w:val="2"/>
                </w:tcPr>
                <w:p w:rsidR="00EF4EC1" w:rsidRPr="00172784" w:rsidRDefault="00EF4EC1" w:rsidP="00EF4EC1">
                  <w:pPr>
                    <w:pStyle w:val="Slide2"/>
                    <w:ind w:left="0" w:firstLine="0"/>
                    <w:rPr>
                      <w:color w:val="0000FF"/>
                    </w:rPr>
                  </w:pPr>
                  <w:r>
                    <w:rPr>
                      <w:color w:val="0000FF"/>
                    </w:rPr>
                    <w:t>the greater of:</w:t>
                  </w:r>
                </w:p>
              </w:tc>
              <w:tc>
                <w:tcPr>
                  <w:tcW w:w="567" w:type="dxa"/>
                  <w:tcBorders>
                    <w:top w:val="single" w:sz="4" w:space="0" w:color="auto"/>
                    <w:right w:val="single" w:sz="4" w:space="0" w:color="auto"/>
                  </w:tcBorders>
                </w:tcPr>
                <w:p w:rsidR="00EF4EC1" w:rsidRPr="00172784" w:rsidRDefault="00EF4EC1" w:rsidP="00EF4EC1">
                  <w:pPr>
                    <w:pStyle w:val="Slide2"/>
                    <w:ind w:left="0" w:firstLine="0"/>
                    <w:rPr>
                      <w:color w:val="0000FF"/>
                    </w:rPr>
                  </w:pPr>
                </w:p>
              </w:tc>
            </w:tr>
            <w:tr w:rsidR="00EF4EC1" w:rsidRPr="00172784" w:rsidTr="00EF4EC1">
              <w:tc>
                <w:tcPr>
                  <w:tcW w:w="793" w:type="dxa"/>
                  <w:tcBorders>
                    <w:right w:val="single" w:sz="4" w:space="0" w:color="auto"/>
                  </w:tcBorders>
                </w:tcPr>
                <w:p w:rsidR="00EF4EC1" w:rsidRPr="00172784" w:rsidRDefault="00EF4EC1" w:rsidP="00EF4EC1">
                  <w:pPr>
                    <w:pStyle w:val="Slide2"/>
                    <w:ind w:left="0" w:firstLine="0"/>
                    <w:rPr>
                      <w:color w:val="0000FF"/>
                    </w:rPr>
                  </w:pPr>
                </w:p>
              </w:tc>
              <w:tc>
                <w:tcPr>
                  <w:tcW w:w="426" w:type="dxa"/>
                  <w:tcBorders>
                    <w:left w:val="single" w:sz="4" w:space="0" w:color="auto"/>
                  </w:tcBorders>
                </w:tcPr>
                <w:p w:rsidR="00EF4EC1" w:rsidRPr="00172784" w:rsidRDefault="00EF4EC1" w:rsidP="00EF4EC1">
                  <w:pPr>
                    <w:pStyle w:val="Slide2"/>
                    <w:tabs>
                      <w:tab w:val="left" w:pos="471"/>
                    </w:tabs>
                    <w:ind w:left="0" w:hanging="108"/>
                    <w:rPr>
                      <w:color w:val="0000FF"/>
                    </w:rPr>
                  </w:pPr>
                </w:p>
              </w:tc>
              <w:tc>
                <w:tcPr>
                  <w:tcW w:w="567" w:type="dxa"/>
                </w:tcPr>
                <w:p w:rsidR="00EF4EC1" w:rsidRPr="00172784" w:rsidRDefault="00EF4EC1" w:rsidP="00EF4EC1">
                  <w:pPr>
                    <w:pStyle w:val="Slide2"/>
                    <w:tabs>
                      <w:tab w:val="left" w:pos="471"/>
                    </w:tabs>
                    <w:ind w:left="0" w:firstLine="0"/>
                    <w:jc w:val="both"/>
                    <w:rPr>
                      <w:color w:val="0000FF"/>
                    </w:rPr>
                  </w:pPr>
                  <w:r w:rsidRPr="00172784">
                    <w:rPr>
                      <w:color w:val="0000FF"/>
                    </w:rPr>
                    <w:t>(a)</w:t>
                  </w:r>
                </w:p>
              </w:tc>
              <w:tc>
                <w:tcPr>
                  <w:tcW w:w="3374" w:type="dxa"/>
                </w:tcPr>
                <w:p w:rsidR="00EF4EC1" w:rsidRPr="00172784" w:rsidRDefault="00D22D1E" w:rsidP="00EF4EC1">
                  <w:pPr>
                    <w:pStyle w:val="Slide2"/>
                    <w:tabs>
                      <w:tab w:val="left" w:pos="471"/>
                    </w:tabs>
                    <w:ind w:left="0" w:hanging="108"/>
                    <w:rPr>
                      <w:color w:val="0000FF"/>
                    </w:rPr>
                  </w:pPr>
                  <m:oMathPara>
                    <m:oMathParaPr>
                      <m:jc m:val="left"/>
                    </m:oMathParaPr>
                    <m:oMath>
                      <m:f>
                        <m:fPr>
                          <m:ctrlPr>
                            <w:rPr>
                              <w:rFonts w:ascii="Cambria Math" w:hAnsi="Cambria Math"/>
                              <w:i/>
                              <w:color w:val="0000FF"/>
                            </w:rPr>
                          </m:ctrlPr>
                        </m:fPr>
                        <m:num>
                          <m:r>
                            <m:rPr>
                              <m:nor/>
                            </m:rPr>
                            <w:rPr>
                              <w:color w:val="0000FF"/>
                            </w:rPr>
                            <m:t>30</m:t>
                          </m:r>
                          <m:r>
                            <m:rPr>
                              <m:nor/>
                            </m:rPr>
                            <w:rPr>
                              <w:rFonts w:ascii="Cambria Math"/>
                              <w:color w:val="0000FF"/>
                            </w:rPr>
                            <m:t> </m:t>
                          </m:r>
                          <m:r>
                            <m:rPr>
                              <m:nor/>
                            </m:rPr>
                            <w:rPr>
                              <w:color w:val="0000FF"/>
                            </w:rPr>
                            <m:t>000</m:t>
                          </m:r>
                          <m:r>
                            <m:rPr>
                              <m:nor/>
                            </m:rPr>
                            <w:rPr>
                              <w:rFonts w:ascii="Cambria Math"/>
                              <w:color w:val="0000FF"/>
                            </w:rPr>
                            <m:t xml:space="preserve"> </m:t>
                          </m:r>
                          <m:r>
                            <m:rPr>
                              <m:nor/>
                            </m:rPr>
                            <w:rPr>
                              <w:color w:val="0000FF"/>
                            </w:rPr>
                            <m:t>e</m:t>
                          </m:r>
                        </m:num>
                        <m:den>
                          <m:r>
                            <m:rPr>
                              <m:nor/>
                            </m:rPr>
                            <w:rPr>
                              <w:color w:val="0000FF"/>
                            </w:rPr>
                            <m:t>184</m:t>
                          </m:r>
                        </m:den>
                      </m:f>
                      <m:r>
                        <m:rPr>
                          <m:sty m:val="p"/>
                        </m:rPr>
                        <w:rPr>
                          <w:rFonts w:ascii="Cambria Math" w:hAnsi="Cambria Math"/>
                          <w:color w:val="0000FF"/>
                        </w:rPr>
                        <m:t>-</m:t>
                      </m:r>
                      <m:f>
                        <m:fPr>
                          <m:ctrlPr>
                            <w:rPr>
                              <w:rFonts w:ascii="Cambria Math" w:hAnsi="Cambria Math"/>
                              <w:i/>
                              <w:color w:val="0000FF"/>
                            </w:rPr>
                          </m:ctrlPr>
                        </m:fPr>
                        <m:num>
                          <m:r>
                            <m:rPr>
                              <m:nor/>
                            </m:rPr>
                            <w:rPr>
                              <w:color w:val="0000FF"/>
                            </w:rPr>
                            <m:t>2</m:t>
                          </m:r>
                        </m:num>
                        <m:den>
                          <m:r>
                            <m:rPr>
                              <m:nor/>
                            </m:rPr>
                            <w:rPr>
                              <w:color w:val="0000FF"/>
                            </w:rPr>
                            <m:t>3</m:t>
                          </m:r>
                        </m:den>
                      </m:f>
                      <m:r>
                        <m:rPr>
                          <m:nor/>
                        </m:rPr>
                        <w:rPr>
                          <w:rFonts w:ascii="Cambria Math"/>
                          <w:color w:val="0000FF"/>
                        </w:rPr>
                        <m:t xml:space="preserve"> </m:t>
                      </m:r>
                      <m:r>
                        <m:rPr>
                          <m:nor/>
                        </m:rPr>
                        <w:rPr>
                          <w:rFonts w:ascii="Cambria Math" w:hAnsi="Cambria Math"/>
                          <w:color w:val="0000FF"/>
                        </w:rPr>
                        <m:t xml:space="preserve">× </m:t>
                      </m:r>
                      <m:d>
                        <m:dPr>
                          <m:begChr m:val="{"/>
                          <m:endChr m:val="}"/>
                          <m:ctrlPr>
                            <w:rPr>
                              <w:rFonts w:ascii="Cambria Math" w:hAnsi="Cambria Math"/>
                              <w:i/>
                              <w:color w:val="0000FF"/>
                            </w:rPr>
                          </m:ctrlPr>
                        </m:dPr>
                        <m:e>
                          <m:r>
                            <m:rPr>
                              <m:nor/>
                            </m:rPr>
                            <w:rPr>
                              <w:color w:val="0000FF"/>
                            </w:rPr>
                            <m:t xml:space="preserve">t </m:t>
                          </m:r>
                          <m:r>
                            <m:rPr>
                              <m:nor/>
                            </m:rPr>
                            <w:rPr>
                              <w:rFonts w:ascii="Cambria Math" w:hAnsi="Cambria Math"/>
                              <w:color w:val="0000FF"/>
                            </w:rPr>
                            <m:t>+</m:t>
                          </m:r>
                          <m:r>
                            <m:rPr>
                              <m:nor/>
                            </m:rPr>
                            <w:rPr>
                              <w:color w:val="0000FF"/>
                            </w:rPr>
                            <m:t xml:space="preserve"> m</m:t>
                          </m:r>
                          <m:r>
                            <m:rPr>
                              <m:sty m:val="p"/>
                            </m:rPr>
                            <w:rPr>
                              <w:rFonts w:ascii="Cambria Math" w:hAnsi="Cambria Math"/>
                              <w:color w:val="0000FF"/>
                            </w:rPr>
                            <m:t>-</m:t>
                          </m:r>
                          <m:f>
                            <m:fPr>
                              <m:ctrlPr>
                                <w:rPr>
                                  <w:rFonts w:ascii="Cambria Math" w:hAnsi="Cambria Math"/>
                                  <w:i/>
                                  <w:color w:val="0000FF"/>
                                </w:rPr>
                              </m:ctrlPr>
                            </m:fPr>
                            <m:num>
                              <m:r>
                                <m:rPr>
                                  <m:nor/>
                                </m:rPr>
                                <w:rPr>
                                  <w:color w:val="0000FF"/>
                                </w:rPr>
                                <m:t>30</m:t>
                              </m:r>
                              <m:r>
                                <m:rPr>
                                  <m:nor/>
                                </m:rPr>
                                <w:rPr>
                                  <w:rFonts w:ascii="Cambria Math"/>
                                  <w:color w:val="0000FF"/>
                                </w:rPr>
                                <m:t> </m:t>
                              </m:r>
                              <m:r>
                                <m:rPr>
                                  <m:nor/>
                                </m:rPr>
                                <w:rPr>
                                  <w:color w:val="0000FF"/>
                                </w:rPr>
                                <m:t>000</m:t>
                              </m:r>
                              <m:r>
                                <m:rPr>
                                  <m:nor/>
                                </m:rPr>
                                <w:rPr>
                                  <w:rFonts w:ascii="Cambria Math"/>
                                  <w:color w:val="0000FF"/>
                                </w:rPr>
                                <m:t xml:space="preserve"> </m:t>
                              </m:r>
                              <m:r>
                                <m:rPr>
                                  <m:nor/>
                                </m:rPr>
                                <w:rPr>
                                  <w:color w:val="0000FF"/>
                                </w:rPr>
                                <m:t>e</m:t>
                              </m:r>
                            </m:num>
                            <m:den>
                              <m:r>
                                <m:rPr>
                                  <m:nor/>
                                </m:rPr>
                                <w:rPr>
                                  <w:color w:val="0000FF"/>
                                </w:rPr>
                                <m:t>184</m:t>
                              </m:r>
                            </m:den>
                          </m:f>
                        </m:e>
                      </m:d>
                    </m:oMath>
                  </m:oMathPara>
                </w:p>
              </w:tc>
              <w:tc>
                <w:tcPr>
                  <w:tcW w:w="567" w:type="dxa"/>
                  <w:tcBorders>
                    <w:right w:val="single" w:sz="4" w:space="0" w:color="auto"/>
                  </w:tcBorders>
                </w:tcPr>
                <w:p w:rsidR="00EF4EC1" w:rsidRPr="00172784" w:rsidRDefault="00EF4EC1" w:rsidP="00EF4EC1">
                  <w:pPr>
                    <w:pStyle w:val="Slide2"/>
                    <w:tabs>
                      <w:tab w:val="left" w:pos="471"/>
                    </w:tabs>
                    <w:ind w:left="0" w:hanging="108"/>
                    <w:rPr>
                      <w:color w:val="0000FF"/>
                    </w:rPr>
                  </w:pPr>
                </w:p>
              </w:tc>
            </w:tr>
            <w:tr w:rsidR="00EF4EC1" w:rsidRPr="00172784" w:rsidTr="00EF4EC1">
              <w:tc>
                <w:tcPr>
                  <w:tcW w:w="793" w:type="dxa"/>
                  <w:tcBorders>
                    <w:right w:val="single" w:sz="4" w:space="0" w:color="auto"/>
                  </w:tcBorders>
                </w:tcPr>
                <w:p w:rsidR="00EF4EC1" w:rsidRPr="00172784" w:rsidRDefault="00D22D1E" w:rsidP="00EF4EC1">
                  <w:pPr>
                    <w:pStyle w:val="Slide2"/>
                    <w:ind w:left="0" w:firstLine="0"/>
                    <w:rPr>
                      <w:rFonts w:ascii="Cambria Math" w:hAnsi="Cambria Math"/>
                      <w:color w:val="0000FF"/>
                      <w:szCs w:val="22"/>
                      <w:oMath/>
                    </w:rPr>
                  </w:pPr>
                  <m:oMathPara>
                    <m:oMathParaPr>
                      <m:jc m:val="left"/>
                    </m:oMathParaPr>
                    <m:oMath>
                      <m:f>
                        <m:fPr>
                          <m:ctrlPr>
                            <w:rPr>
                              <w:rFonts w:ascii="Cambria Math" w:hAnsi="Cambria Math"/>
                              <w:i/>
                              <w:color w:val="0000FF"/>
                              <w:szCs w:val="22"/>
                            </w:rPr>
                          </m:ctrlPr>
                        </m:fPr>
                        <m:num>
                          <m:r>
                            <m:rPr>
                              <m:nor/>
                            </m:rPr>
                            <w:rPr>
                              <w:color w:val="0000FF"/>
                              <w:szCs w:val="22"/>
                            </w:rPr>
                            <m:t>t</m:t>
                          </m:r>
                        </m:num>
                        <m:den>
                          <m:d>
                            <m:dPr>
                              <m:ctrlPr>
                                <w:rPr>
                                  <w:rFonts w:ascii="Cambria Math" w:hAnsi="Cambria Math"/>
                                  <w:i/>
                                  <w:color w:val="0000FF"/>
                                  <w:szCs w:val="22"/>
                                </w:rPr>
                              </m:ctrlPr>
                            </m:dPr>
                            <m:e>
                              <m:r>
                                <m:rPr>
                                  <m:nor/>
                                </m:rPr>
                                <w:rPr>
                                  <w:color w:val="0000FF"/>
                                  <w:szCs w:val="22"/>
                                </w:rPr>
                                <m:t>t</m:t>
                              </m:r>
                              <m:r>
                                <m:rPr>
                                  <m:sty m:val="p"/>
                                </m:rPr>
                                <w:rPr>
                                  <w:rFonts w:ascii="Cambria Math" w:hAnsi="Cambria Math"/>
                                  <w:color w:val="0000FF"/>
                                  <w:szCs w:val="22"/>
                                </w:rPr>
                                <m:t>-</m:t>
                              </m:r>
                              <m:r>
                                <m:rPr>
                                  <m:nor/>
                                </m:rPr>
                                <w:rPr>
                                  <w:color w:val="0000FF"/>
                                  <w:szCs w:val="22"/>
                                </w:rPr>
                                <m:t>m</m:t>
                              </m:r>
                            </m:e>
                          </m:d>
                        </m:den>
                      </m:f>
                      <m:r>
                        <m:rPr>
                          <m:nor/>
                        </m:rPr>
                        <w:rPr>
                          <w:color w:val="0000FF"/>
                          <w:szCs w:val="22"/>
                        </w:rPr>
                        <m:t xml:space="preserve"> </m:t>
                      </m:r>
                    </m:oMath>
                  </m:oMathPara>
                </w:p>
              </w:tc>
              <w:tc>
                <w:tcPr>
                  <w:tcW w:w="426" w:type="dxa"/>
                  <w:tcBorders>
                    <w:left w:val="single" w:sz="4" w:space="0" w:color="auto"/>
                  </w:tcBorders>
                </w:tcPr>
                <w:p w:rsidR="00EF4EC1" w:rsidRPr="00172784" w:rsidRDefault="00EF4EC1" w:rsidP="00EF4EC1">
                  <w:pPr>
                    <w:pStyle w:val="Slide2"/>
                    <w:ind w:left="0" w:firstLine="0"/>
                    <w:rPr>
                      <w:color w:val="0000FF"/>
                    </w:rPr>
                  </w:pPr>
                </w:p>
              </w:tc>
              <w:tc>
                <w:tcPr>
                  <w:tcW w:w="567" w:type="dxa"/>
                </w:tcPr>
                <w:p w:rsidR="00EF4EC1" w:rsidRPr="00172784" w:rsidRDefault="00EF4EC1" w:rsidP="00EF4EC1">
                  <w:pPr>
                    <w:pStyle w:val="Slide2"/>
                    <w:tabs>
                      <w:tab w:val="left" w:pos="459"/>
                    </w:tabs>
                    <w:ind w:left="0" w:firstLine="0"/>
                    <w:jc w:val="both"/>
                    <w:rPr>
                      <w:color w:val="0000FF"/>
                    </w:rPr>
                  </w:pPr>
                  <w:r>
                    <w:rPr>
                      <w:color w:val="0000FF"/>
                    </w:rPr>
                    <w:t>and</w:t>
                  </w:r>
                </w:p>
              </w:tc>
              <w:tc>
                <w:tcPr>
                  <w:tcW w:w="3374" w:type="dxa"/>
                </w:tcPr>
                <w:p w:rsidR="00EF4EC1" w:rsidRPr="00172784" w:rsidRDefault="00EF4EC1" w:rsidP="00EF4EC1">
                  <w:pPr>
                    <w:pStyle w:val="Slide2"/>
                    <w:ind w:left="0" w:firstLine="0"/>
                    <w:rPr>
                      <w:color w:val="0000FF"/>
                    </w:rPr>
                  </w:pPr>
                </w:p>
              </w:tc>
              <w:tc>
                <w:tcPr>
                  <w:tcW w:w="567" w:type="dxa"/>
                  <w:tcBorders>
                    <w:right w:val="single" w:sz="4" w:space="0" w:color="auto"/>
                  </w:tcBorders>
                </w:tcPr>
                <w:p w:rsidR="00EF4EC1" w:rsidRPr="00172784" w:rsidRDefault="00EF4EC1" w:rsidP="00EF4EC1">
                  <w:pPr>
                    <w:pStyle w:val="Slide2"/>
                    <w:ind w:left="0" w:firstLine="0"/>
                    <w:rPr>
                      <w:color w:val="0000FF"/>
                    </w:rPr>
                  </w:pPr>
                </w:p>
              </w:tc>
            </w:tr>
            <w:tr w:rsidR="00EF4EC1" w:rsidRPr="00172784" w:rsidTr="00EF4EC1">
              <w:tc>
                <w:tcPr>
                  <w:tcW w:w="793" w:type="dxa"/>
                  <w:tcBorders>
                    <w:right w:val="single" w:sz="4" w:space="0" w:color="auto"/>
                  </w:tcBorders>
                </w:tcPr>
                <w:p w:rsidR="00EF4EC1" w:rsidRPr="00172784" w:rsidRDefault="00EF4EC1" w:rsidP="00EF4EC1">
                  <w:pPr>
                    <w:pStyle w:val="Slide2"/>
                    <w:ind w:left="0" w:firstLine="0"/>
                    <w:rPr>
                      <w:color w:val="0000FF"/>
                    </w:rPr>
                  </w:pPr>
                </w:p>
              </w:tc>
              <w:tc>
                <w:tcPr>
                  <w:tcW w:w="426" w:type="dxa"/>
                  <w:tcBorders>
                    <w:left w:val="single" w:sz="4" w:space="0" w:color="auto"/>
                    <w:bottom w:val="single" w:sz="4" w:space="0" w:color="auto"/>
                  </w:tcBorders>
                </w:tcPr>
                <w:p w:rsidR="00EF4EC1" w:rsidRPr="00172784" w:rsidRDefault="00EF4EC1" w:rsidP="00EF4EC1">
                  <w:pPr>
                    <w:pStyle w:val="Slide2"/>
                    <w:tabs>
                      <w:tab w:val="left" w:pos="459"/>
                    </w:tabs>
                    <w:ind w:left="0" w:firstLine="0"/>
                    <w:rPr>
                      <w:color w:val="0000FF"/>
                    </w:rPr>
                  </w:pPr>
                </w:p>
              </w:tc>
              <w:tc>
                <w:tcPr>
                  <w:tcW w:w="567" w:type="dxa"/>
                </w:tcPr>
                <w:p w:rsidR="00EF4EC1" w:rsidRPr="00172784" w:rsidRDefault="00EF4EC1" w:rsidP="00EF4EC1">
                  <w:pPr>
                    <w:pStyle w:val="Slide2"/>
                    <w:tabs>
                      <w:tab w:val="left" w:pos="459"/>
                    </w:tabs>
                    <w:ind w:left="0" w:firstLine="0"/>
                    <w:jc w:val="both"/>
                    <w:rPr>
                      <w:color w:val="0000FF"/>
                    </w:rPr>
                  </w:pPr>
                  <w:r w:rsidRPr="00172784">
                    <w:rPr>
                      <w:color w:val="0000FF"/>
                    </w:rPr>
                    <w:t>(b)</w:t>
                  </w:r>
                </w:p>
              </w:tc>
              <w:tc>
                <w:tcPr>
                  <w:tcW w:w="3374" w:type="dxa"/>
                </w:tcPr>
                <w:p w:rsidR="00EF4EC1" w:rsidRPr="00E62E85" w:rsidRDefault="00D22D1E" w:rsidP="00EF4EC1">
                  <w:pPr>
                    <w:pStyle w:val="Slide2"/>
                    <w:tabs>
                      <w:tab w:val="left" w:pos="459"/>
                    </w:tabs>
                    <w:ind w:left="0" w:firstLine="0"/>
                    <w:rPr>
                      <w:color w:val="0000FF"/>
                      <w:szCs w:val="22"/>
                    </w:rPr>
                  </w:pPr>
                  <m:oMathPara>
                    <m:oMathParaPr>
                      <m:jc m:val="left"/>
                    </m:oMathParaPr>
                    <m:oMath>
                      <m:f>
                        <m:fPr>
                          <m:ctrlPr>
                            <w:rPr>
                              <w:rFonts w:ascii="Cambria Math" w:hAnsi="Cambria Math"/>
                              <w:color w:val="0000FF"/>
                              <w:szCs w:val="22"/>
                            </w:rPr>
                          </m:ctrlPr>
                        </m:fPr>
                        <m:num>
                          <m:r>
                            <m:rPr>
                              <m:nor/>
                            </m:rPr>
                            <w:rPr>
                              <w:color w:val="0000FF"/>
                              <w:szCs w:val="22"/>
                            </w:rPr>
                            <m:t>13</m:t>
                          </m:r>
                          <m:r>
                            <m:rPr>
                              <m:nor/>
                            </m:rPr>
                            <w:rPr>
                              <w:rFonts w:ascii="Cambria Math"/>
                              <w:color w:val="0000FF"/>
                              <w:szCs w:val="22"/>
                            </w:rPr>
                            <m:t> </m:t>
                          </m:r>
                          <m:r>
                            <m:rPr>
                              <m:nor/>
                            </m:rPr>
                            <w:rPr>
                              <w:color w:val="0000FF"/>
                              <w:szCs w:val="22"/>
                            </w:rPr>
                            <m:t>500</m:t>
                          </m:r>
                        </m:num>
                        <m:den>
                          <m:r>
                            <m:rPr>
                              <m:nor/>
                            </m:rPr>
                            <w:rPr>
                              <w:color w:val="0000FF"/>
                              <w:szCs w:val="22"/>
                            </w:rPr>
                            <m:t>184</m:t>
                          </m:r>
                        </m:den>
                      </m:f>
                    </m:oMath>
                  </m:oMathPara>
                </w:p>
              </w:tc>
              <w:tc>
                <w:tcPr>
                  <w:tcW w:w="567" w:type="dxa"/>
                  <w:tcBorders>
                    <w:bottom w:val="single" w:sz="4" w:space="0" w:color="auto"/>
                    <w:right w:val="single" w:sz="4" w:space="0" w:color="auto"/>
                  </w:tcBorders>
                </w:tcPr>
                <w:p w:rsidR="00EF4EC1" w:rsidRPr="00172784" w:rsidRDefault="00EF4EC1" w:rsidP="00EF4EC1">
                  <w:pPr>
                    <w:pStyle w:val="Slide2"/>
                    <w:tabs>
                      <w:tab w:val="left" w:pos="459"/>
                    </w:tabs>
                    <w:ind w:left="0" w:firstLine="0"/>
                    <w:rPr>
                      <w:color w:val="0000FF"/>
                    </w:rPr>
                  </w:pPr>
                </w:p>
              </w:tc>
            </w:tr>
          </w:tbl>
          <w:p w:rsidR="00EF4EC1" w:rsidRPr="00172784" w:rsidRDefault="00EF4EC1" w:rsidP="00EF4EC1">
            <w:pPr>
              <w:pStyle w:val="Slide2"/>
              <w:ind w:left="1077" w:hanging="1077"/>
              <w:rPr>
                <w:color w:val="0000FF"/>
              </w:rPr>
            </w:pPr>
            <w:r w:rsidRPr="00172784">
              <w:rPr>
                <w:color w:val="0000FF"/>
              </w:rPr>
              <w:tab/>
              <w:t>And</w:t>
            </w:r>
          </w:p>
          <w:tbl>
            <w:tblPr>
              <w:tblStyle w:val="TableGrid"/>
              <w:tblW w:w="5727" w:type="dxa"/>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
              <w:gridCol w:w="426"/>
              <w:gridCol w:w="567"/>
              <w:gridCol w:w="3374"/>
              <w:gridCol w:w="567"/>
            </w:tblGrid>
            <w:tr w:rsidR="00EF4EC1" w:rsidRPr="00172784" w:rsidTr="00EF4EC1">
              <w:tc>
                <w:tcPr>
                  <w:tcW w:w="793" w:type="dxa"/>
                  <w:tcBorders>
                    <w:right w:val="single" w:sz="4" w:space="0" w:color="auto"/>
                  </w:tcBorders>
                </w:tcPr>
                <w:p w:rsidR="00EF4EC1" w:rsidRPr="00172784" w:rsidRDefault="00EF4EC1" w:rsidP="00EF4EC1">
                  <w:pPr>
                    <w:pStyle w:val="Slide2"/>
                    <w:ind w:left="0" w:firstLine="0"/>
                    <w:rPr>
                      <w:color w:val="0000FF"/>
                    </w:rPr>
                  </w:pPr>
                </w:p>
              </w:tc>
              <w:tc>
                <w:tcPr>
                  <w:tcW w:w="426" w:type="dxa"/>
                  <w:tcBorders>
                    <w:top w:val="single" w:sz="4" w:space="0" w:color="auto"/>
                    <w:left w:val="single" w:sz="4" w:space="0" w:color="auto"/>
                  </w:tcBorders>
                </w:tcPr>
                <w:p w:rsidR="00EF4EC1" w:rsidRPr="00172784" w:rsidRDefault="00EF4EC1" w:rsidP="00EF4EC1">
                  <w:pPr>
                    <w:pStyle w:val="Slide2"/>
                    <w:ind w:left="0" w:firstLine="0"/>
                    <w:rPr>
                      <w:color w:val="0000FF"/>
                    </w:rPr>
                  </w:pPr>
                </w:p>
              </w:tc>
              <w:tc>
                <w:tcPr>
                  <w:tcW w:w="3941" w:type="dxa"/>
                  <w:gridSpan w:val="2"/>
                </w:tcPr>
                <w:p w:rsidR="00EF4EC1" w:rsidRPr="00172784" w:rsidRDefault="00EF4EC1" w:rsidP="00EF4EC1">
                  <w:pPr>
                    <w:pStyle w:val="Slide2"/>
                    <w:ind w:left="0" w:firstLine="0"/>
                    <w:rPr>
                      <w:color w:val="0000FF"/>
                    </w:rPr>
                  </w:pPr>
                  <w:r>
                    <w:rPr>
                      <w:color w:val="0000FF"/>
                    </w:rPr>
                    <w:t xml:space="preserve">the </w:t>
                  </w:r>
                  <w:r w:rsidRPr="00172784">
                    <w:rPr>
                      <w:color w:val="0000FF"/>
                    </w:rPr>
                    <w:t>greater</w:t>
                  </w:r>
                  <w:r>
                    <w:rPr>
                      <w:color w:val="0000FF"/>
                    </w:rPr>
                    <w:t xml:space="preserve"> of:</w:t>
                  </w:r>
                </w:p>
              </w:tc>
              <w:tc>
                <w:tcPr>
                  <w:tcW w:w="567" w:type="dxa"/>
                  <w:tcBorders>
                    <w:top w:val="single" w:sz="4" w:space="0" w:color="auto"/>
                    <w:right w:val="single" w:sz="4" w:space="0" w:color="auto"/>
                  </w:tcBorders>
                </w:tcPr>
                <w:p w:rsidR="00EF4EC1" w:rsidRPr="00172784" w:rsidRDefault="00EF4EC1" w:rsidP="00EF4EC1">
                  <w:pPr>
                    <w:pStyle w:val="Slide2"/>
                    <w:ind w:left="0" w:firstLine="0"/>
                    <w:rPr>
                      <w:color w:val="0000FF"/>
                    </w:rPr>
                  </w:pPr>
                </w:p>
              </w:tc>
            </w:tr>
            <w:tr w:rsidR="00EF4EC1" w:rsidRPr="00172784" w:rsidTr="00EF4EC1">
              <w:tc>
                <w:tcPr>
                  <w:tcW w:w="793" w:type="dxa"/>
                  <w:tcBorders>
                    <w:right w:val="single" w:sz="4" w:space="0" w:color="auto"/>
                  </w:tcBorders>
                </w:tcPr>
                <w:p w:rsidR="00EF4EC1" w:rsidRPr="00172784" w:rsidRDefault="00EF4EC1" w:rsidP="00EF4EC1">
                  <w:pPr>
                    <w:pStyle w:val="Slide2"/>
                    <w:ind w:left="0" w:firstLine="0"/>
                    <w:rPr>
                      <w:color w:val="0000FF"/>
                    </w:rPr>
                  </w:pPr>
                </w:p>
              </w:tc>
              <w:tc>
                <w:tcPr>
                  <w:tcW w:w="426" w:type="dxa"/>
                  <w:tcBorders>
                    <w:left w:val="single" w:sz="4" w:space="0" w:color="auto"/>
                  </w:tcBorders>
                </w:tcPr>
                <w:p w:rsidR="00EF4EC1" w:rsidRPr="00172784" w:rsidRDefault="00EF4EC1" w:rsidP="00EF4EC1">
                  <w:pPr>
                    <w:pStyle w:val="Slide2"/>
                    <w:tabs>
                      <w:tab w:val="left" w:pos="471"/>
                    </w:tabs>
                    <w:ind w:left="0" w:hanging="108"/>
                    <w:rPr>
                      <w:color w:val="0000FF"/>
                    </w:rPr>
                  </w:pPr>
                </w:p>
              </w:tc>
              <w:tc>
                <w:tcPr>
                  <w:tcW w:w="567" w:type="dxa"/>
                </w:tcPr>
                <w:p w:rsidR="00EF4EC1" w:rsidRPr="00172784" w:rsidRDefault="00EF4EC1" w:rsidP="00EF4EC1">
                  <w:pPr>
                    <w:pStyle w:val="Slide2"/>
                    <w:tabs>
                      <w:tab w:val="left" w:pos="471"/>
                    </w:tabs>
                    <w:ind w:left="0" w:firstLine="0"/>
                    <w:jc w:val="both"/>
                    <w:rPr>
                      <w:color w:val="0000FF"/>
                    </w:rPr>
                  </w:pPr>
                  <w:r w:rsidRPr="00172784">
                    <w:rPr>
                      <w:color w:val="0000FF"/>
                    </w:rPr>
                    <w:t>(a)</w:t>
                  </w:r>
                </w:p>
              </w:tc>
              <w:tc>
                <w:tcPr>
                  <w:tcW w:w="3374" w:type="dxa"/>
                </w:tcPr>
                <w:p w:rsidR="00EF4EC1" w:rsidRPr="00172784" w:rsidRDefault="00D22D1E" w:rsidP="00EF4EC1">
                  <w:pPr>
                    <w:pStyle w:val="Slide2"/>
                    <w:tabs>
                      <w:tab w:val="left" w:pos="471"/>
                    </w:tabs>
                    <w:ind w:left="0" w:hanging="108"/>
                    <w:rPr>
                      <w:color w:val="0000FF"/>
                    </w:rPr>
                  </w:pPr>
                  <m:oMathPara>
                    <m:oMathParaPr>
                      <m:jc m:val="left"/>
                    </m:oMathParaPr>
                    <m:oMath>
                      <m:f>
                        <m:fPr>
                          <m:ctrlPr>
                            <w:rPr>
                              <w:rFonts w:ascii="Cambria Math" w:hAnsi="Cambria Math"/>
                              <w:i/>
                              <w:color w:val="0000FF"/>
                            </w:rPr>
                          </m:ctrlPr>
                        </m:fPr>
                        <m:num>
                          <m:r>
                            <m:rPr>
                              <m:nor/>
                            </m:rPr>
                            <w:rPr>
                              <w:color w:val="0000FF"/>
                            </w:rPr>
                            <m:t>36</m:t>
                          </m:r>
                          <m:r>
                            <m:rPr>
                              <m:nor/>
                            </m:rPr>
                            <w:rPr>
                              <w:rFonts w:ascii="Cambria Math"/>
                              <w:color w:val="0000FF"/>
                            </w:rPr>
                            <m:t> </m:t>
                          </m:r>
                          <m:r>
                            <m:rPr>
                              <m:nor/>
                            </m:rPr>
                            <w:rPr>
                              <w:color w:val="0000FF"/>
                            </w:rPr>
                            <m:t>000</m:t>
                          </m:r>
                          <m:r>
                            <m:rPr>
                              <m:nor/>
                            </m:rPr>
                            <w:rPr>
                              <w:rFonts w:ascii="Cambria Math"/>
                              <w:color w:val="0000FF"/>
                            </w:rPr>
                            <m:t> </m:t>
                          </m:r>
                          <m:r>
                            <m:rPr>
                              <m:nor/>
                            </m:rPr>
                            <w:rPr>
                              <w:color w:val="0000FF"/>
                            </w:rPr>
                            <m:t>f</m:t>
                          </m:r>
                        </m:num>
                        <m:den>
                          <m:r>
                            <m:rPr>
                              <m:nor/>
                            </m:rPr>
                            <w:rPr>
                              <w:color w:val="0000FF"/>
                            </w:rPr>
                            <m:t>182</m:t>
                          </m:r>
                        </m:den>
                      </m:f>
                      <m:r>
                        <m:rPr>
                          <m:sty m:val="p"/>
                        </m:rPr>
                        <w:rPr>
                          <w:rFonts w:ascii="Cambria Math" w:hAnsi="Cambria Math"/>
                          <w:color w:val="0000FF"/>
                        </w:rPr>
                        <m:t>-</m:t>
                      </m:r>
                      <m:f>
                        <m:fPr>
                          <m:ctrlPr>
                            <w:rPr>
                              <w:rFonts w:ascii="Cambria Math" w:hAnsi="Cambria Math"/>
                              <w:i/>
                              <w:color w:val="0000FF"/>
                            </w:rPr>
                          </m:ctrlPr>
                        </m:fPr>
                        <m:num>
                          <m:r>
                            <m:rPr>
                              <m:nor/>
                            </m:rPr>
                            <w:rPr>
                              <w:color w:val="0000FF"/>
                            </w:rPr>
                            <m:t>2</m:t>
                          </m:r>
                        </m:num>
                        <m:den>
                          <m:r>
                            <m:rPr>
                              <m:nor/>
                            </m:rPr>
                            <w:rPr>
                              <w:color w:val="0000FF"/>
                            </w:rPr>
                            <m:t>3</m:t>
                          </m:r>
                        </m:den>
                      </m:f>
                      <m:r>
                        <m:rPr>
                          <m:nor/>
                        </m:rPr>
                        <w:rPr>
                          <w:rFonts w:ascii="Cambria Math"/>
                          <w:color w:val="0000FF"/>
                        </w:rPr>
                        <m:t xml:space="preserve"> </m:t>
                      </m:r>
                      <m:r>
                        <m:rPr>
                          <m:nor/>
                        </m:rPr>
                        <w:rPr>
                          <w:rFonts w:ascii="Cambria Math" w:hAnsi="Cambria Math"/>
                          <w:color w:val="0000FF"/>
                        </w:rPr>
                        <m:t xml:space="preserve">× </m:t>
                      </m:r>
                      <m:d>
                        <m:dPr>
                          <m:begChr m:val="{"/>
                          <m:endChr m:val="}"/>
                          <m:ctrlPr>
                            <w:rPr>
                              <w:rFonts w:ascii="Cambria Math" w:hAnsi="Cambria Math"/>
                              <w:i/>
                              <w:color w:val="0000FF"/>
                            </w:rPr>
                          </m:ctrlPr>
                        </m:dPr>
                        <m:e>
                          <m:r>
                            <m:rPr>
                              <m:nor/>
                            </m:rPr>
                            <w:rPr>
                              <w:color w:val="0000FF"/>
                            </w:rPr>
                            <m:t>z</m:t>
                          </m:r>
                          <m:r>
                            <m:rPr>
                              <m:nor/>
                            </m:rPr>
                            <w:rPr>
                              <w:rFonts w:ascii="Cambria Math"/>
                              <w:color w:val="0000FF"/>
                            </w:rPr>
                            <m:t xml:space="preserve"> </m:t>
                          </m:r>
                          <m:r>
                            <m:rPr>
                              <m:nor/>
                            </m:rPr>
                            <w:rPr>
                              <w:rFonts w:ascii="Cambria Math" w:hAnsi="Cambria Math"/>
                              <w:color w:val="0000FF"/>
                            </w:rPr>
                            <m:t>+</m:t>
                          </m:r>
                          <m:r>
                            <m:rPr>
                              <m:nor/>
                            </m:rPr>
                            <w:rPr>
                              <w:color w:val="0000FF"/>
                            </w:rPr>
                            <m:t xml:space="preserve"> p</m:t>
                          </m:r>
                          <m:r>
                            <m:rPr>
                              <m:sty m:val="p"/>
                            </m:rPr>
                            <w:rPr>
                              <w:rFonts w:ascii="Cambria Math" w:hAnsi="Cambria Math"/>
                              <w:color w:val="0000FF"/>
                            </w:rPr>
                            <m:t>-</m:t>
                          </m:r>
                          <m:f>
                            <m:fPr>
                              <m:ctrlPr>
                                <w:rPr>
                                  <w:rFonts w:ascii="Cambria Math" w:hAnsi="Cambria Math"/>
                                  <w:i/>
                                  <w:color w:val="0000FF"/>
                                </w:rPr>
                              </m:ctrlPr>
                            </m:fPr>
                            <m:num>
                              <m:r>
                                <m:rPr>
                                  <m:nor/>
                                </m:rPr>
                                <w:rPr>
                                  <w:color w:val="0000FF"/>
                                </w:rPr>
                                <m:t>36</m:t>
                              </m:r>
                              <m:r>
                                <m:rPr>
                                  <m:nor/>
                                </m:rPr>
                                <w:rPr>
                                  <w:rFonts w:ascii="Cambria Math"/>
                                  <w:color w:val="0000FF"/>
                                </w:rPr>
                                <m:t> </m:t>
                              </m:r>
                              <m:r>
                                <m:rPr>
                                  <m:nor/>
                                </m:rPr>
                                <w:rPr>
                                  <w:color w:val="0000FF"/>
                                </w:rPr>
                                <m:t>000</m:t>
                              </m:r>
                              <m:r>
                                <m:rPr>
                                  <m:nor/>
                                </m:rPr>
                                <w:rPr>
                                  <w:rFonts w:ascii="Cambria Math"/>
                                  <w:color w:val="0000FF"/>
                                </w:rPr>
                                <m:t> </m:t>
                              </m:r>
                              <m:r>
                                <m:rPr>
                                  <m:nor/>
                                </m:rPr>
                                <w:rPr>
                                  <w:color w:val="0000FF"/>
                                </w:rPr>
                                <m:t>f</m:t>
                              </m:r>
                            </m:num>
                            <m:den>
                              <m:r>
                                <m:rPr>
                                  <m:nor/>
                                </m:rPr>
                                <w:rPr>
                                  <w:color w:val="0000FF"/>
                                </w:rPr>
                                <m:t>182</m:t>
                              </m:r>
                            </m:den>
                          </m:f>
                        </m:e>
                      </m:d>
                    </m:oMath>
                  </m:oMathPara>
                </w:p>
              </w:tc>
              <w:tc>
                <w:tcPr>
                  <w:tcW w:w="567" w:type="dxa"/>
                  <w:tcBorders>
                    <w:right w:val="single" w:sz="4" w:space="0" w:color="auto"/>
                  </w:tcBorders>
                </w:tcPr>
                <w:p w:rsidR="00EF4EC1" w:rsidRPr="00172784" w:rsidRDefault="00EF4EC1" w:rsidP="00EF4EC1">
                  <w:pPr>
                    <w:pStyle w:val="Slide2"/>
                    <w:tabs>
                      <w:tab w:val="left" w:pos="471"/>
                    </w:tabs>
                    <w:ind w:left="0" w:hanging="108"/>
                    <w:rPr>
                      <w:color w:val="0000FF"/>
                    </w:rPr>
                  </w:pPr>
                </w:p>
              </w:tc>
            </w:tr>
            <w:tr w:rsidR="00EF4EC1" w:rsidRPr="00172784" w:rsidTr="00EF4EC1">
              <w:tc>
                <w:tcPr>
                  <w:tcW w:w="793" w:type="dxa"/>
                  <w:tcBorders>
                    <w:right w:val="single" w:sz="4" w:space="0" w:color="auto"/>
                  </w:tcBorders>
                </w:tcPr>
                <w:p w:rsidR="00EF4EC1" w:rsidRPr="00172784" w:rsidRDefault="00D22D1E" w:rsidP="00EF4EC1">
                  <w:pPr>
                    <w:pStyle w:val="Slide2"/>
                    <w:ind w:left="0" w:firstLine="0"/>
                    <w:rPr>
                      <w:rFonts w:ascii="Cambria Math" w:hAnsi="Cambria Math"/>
                      <w:color w:val="0000FF"/>
                      <w:szCs w:val="22"/>
                      <w:oMath/>
                    </w:rPr>
                  </w:pPr>
                  <m:oMathPara>
                    <m:oMathParaPr>
                      <m:jc m:val="left"/>
                    </m:oMathParaPr>
                    <m:oMath>
                      <m:f>
                        <m:fPr>
                          <m:ctrlPr>
                            <w:rPr>
                              <w:rFonts w:ascii="Cambria Math" w:eastAsia="Times New Roman" w:hAnsi="Cambria Math"/>
                              <w:i/>
                              <w:color w:val="0000FF"/>
                              <w:szCs w:val="22"/>
                            </w:rPr>
                          </m:ctrlPr>
                        </m:fPr>
                        <m:num>
                          <m:r>
                            <m:rPr>
                              <m:nor/>
                            </m:rPr>
                            <w:rPr>
                              <w:rFonts w:eastAsia="Times New Roman"/>
                              <w:color w:val="0000FF"/>
                              <w:szCs w:val="22"/>
                            </w:rPr>
                            <m:t>z</m:t>
                          </m:r>
                        </m:num>
                        <m:den>
                          <m:d>
                            <m:dPr>
                              <m:ctrlPr>
                                <w:rPr>
                                  <w:rFonts w:ascii="Cambria Math" w:eastAsia="Times New Roman" w:hAnsi="Cambria Math"/>
                                  <w:i/>
                                  <w:color w:val="0000FF"/>
                                  <w:szCs w:val="22"/>
                                </w:rPr>
                              </m:ctrlPr>
                            </m:dPr>
                            <m:e>
                              <m:r>
                                <m:rPr>
                                  <m:nor/>
                                </m:rPr>
                                <w:rPr>
                                  <w:rFonts w:eastAsia="Times New Roman"/>
                                  <w:color w:val="0000FF"/>
                                  <w:szCs w:val="22"/>
                                </w:rPr>
                                <m:t>z</m:t>
                              </m:r>
                              <m:r>
                                <m:rPr>
                                  <m:nor/>
                                </m:rPr>
                                <w:rPr>
                                  <w:rFonts w:ascii="Cambria Math" w:eastAsia="Times New Roman"/>
                                  <w:color w:val="0000FF"/>
                                  <w:szCs w:val="22"/>
                                </w:rPr>
                                <m:t xml:space="preserve"> </m:t>
                              </m:r>
                              <m:r>
                                <m:rPr>
                                  <m:nor/>
                                </m:rPr>
                                <w:rPr>
                                  <w:rFonts w:ascii="Cambria Math" w:eastAsia="Times New Roman" w:hAnsi="Cambria Math"/>
                                  <w:color w:val="0000FF"/>
                                  <w:szCs w:val="22"/>
                                </w:rPr>
                                <m:t>+</m:t>
                              </m:r>
                              <m:r>
                                <m:rPr>
                                  <m:nor/>
                                </m:rPr>
                                <w:rPr>
                                  <w:rFonts w:ascii="Cambria Math" w:eastAsia="Times New Roman"/>
                                  <w:color w:val="0000FF"/>
                                  <w:szCs w:val="22"/>
                                </w:rPr>
                                <m:t xml:space="preserve"> </m:t>
                              </m:r>
                              <m:r>
                                <m:rPr>
                                  <m:nor/>
                                </m:rPr>
                                <w:rPr>
                                  <w:rFonts w:eastAsia="Times New Roman"/>
                                  <w:color w:val="0000FF"/>
                                  <w:szCs w:val="22"/>
                                </w:rPr>
                                <m:t>p</m:t>
                              </m:r>
                            </m:e>
                          </m:d>
                        </m:den>
                      </m:f>
                    </m:oMath>
                  </m:oMathPara>
                </w:p>
              </w:tc>
              <w:tc>
                <w:tcPr>
                  <w:tcW w:w="426" w:type="dxa"/>
                  <w:tcBorders>
                    <w:left w:val="single" w:sz="4" w:space="0" w:color="auto"/>
                  </w:tcBorders>
                </w:tcPr>
                <w:p w:rsidR="00EF4EC1" w:rsidRPr="00172784" w:rsidRDefault="00EF4EC1" w:rsidP="00EF4EC1">
                  <w:pPr>
                    <w:pStyle w:val="Slide2"/>
                    <w:ind w:left="0" w:firstLine="0"/>
                    <w:rPr>
                      <w:color w:val="0000FF"/>
                    </w:rPr>
                  </w:pPr>
                </w:p>
              </w:tc>
              <w:tc>
                <w:tcPr>
                  <w:tcW w:w="567" w:type="dxa"/>
                </w:tcPr>
                <w:p w:rsidR="00EF4EC1" w:rsidRPr="00172784" w:rsidRDefault="00EF4EC1" w:rsidP="00EF4EC1">
                  <w:pPr>
                    <w:pStyle w:val="Slide2"/>
                    <w:tabs>
                      <w:tab w:val="left" w:pos="459"/>
                    </w:tabs>
                    <w:ind w:left="0" w:firstLine="0"/>
                    <w:jc w:val="both"/>
                    <w:rPr>
                      <w:color w:val="0000FF"/>
                    </w:rPr>
                  </w:pPr>
                  <w:r>
                    <w:rPr>
                      <w:color w:val="0000FF"/>
                    </w:rPr>
                    <w:t>and</w:t>
                  </w:r>
                </w:p>
              </w:tc>
              <w:tc>
                <w:tcPr>
                  <w:tcW w:w="3374" w:type="dxa"/>
                </w:tcPr>
                <w:p w:rsidR="00EF4EC1" w:rsidRPr="00172784" w:rsidRDefault="00EF4EC1" w:rsidP="00EF4EC1">
                  <w:pPr>
                    <w:pStyle w:val="Slide2"/>
                    <w:ind w:left="0" w:firstLine="0"/>
                    <w:rPr>
                      <w:color w:val="0000FF"/>
                    </w:rPr>
                  </w:pPr>
                </w:p>
              </w:tc>
              <w:tc>
                <w:tcPr>
                  <w:tcW w:w="567" w:type="dxa"/>
                  <w:tcBorders>
                    <w:right w:val="single" w:sz="4" w:space="0" w:color="auto"/>
                  </w:tcBorders>
                </w:tcPr>
                <w:p w:rsidR="00EF4EC1" w:rsidRPr="00172784" w:rsidRDefault="00EF4EC1" w:rsidP="00EF4EC1">
                  <w:pPr>
                    <w:pStyle w:val="Slide2"/>
                    <w:ind w:left="0" w:firstLine="0"/>
                    <w:rPr>
                      <w:color w:val="0000FF"/>
                    </w:rPr>
                  </w:pPr>
                </w:p>
              </w:tc>
            </w:tr>
            <w:tr w:rsidR="00EF4EC1" w:rsidRPr="00172784" w:rsidTr="00EF4EC1">
              <w:tc>
                <w:tcPr>
                  <w:tcW w:w="793" w:type="dxa"/>
                  <w:tcBorders>
                    <w:right w:val="single" w:sz="4" w:space="0" w:color="auto"/>
                  </w:tcBorders>
                </w:tcPr>
                <w:p w:rsidR="00EF4EC1" w:rsidRPr="00172784" w:rsidRDefault="00EF4EC1" w:rsidP="00EF4EC1">
                  <w:pPr>
                    <w:pStyle w:val="Slide2"/>
                    <w:ind w:left="0" w:firstLine="0"/>
                    <w:rPr>
                      <w:color w:val="0000FF"/>
                    </w:rPr>
                  </w:pPr>
                </w:p>
              </w:tc>
              <w:tc>
                <w:tcPr>
                  <w:tcW w:w="426" w:type="dxa"/>
                  <w:tcBorders>
                    <w:left w:val="single" w:sz="4" w:space="0" w:color="auto"/>
                    <w:bottom w:val="single" w:sz="4" w:space="0" w:color="auto"/>
                  </w:tcBorders>
                </w:tcPr>
                <w:p w:rsidR="00EF4EC1" w:rsidRPr="00172784" w:rsidRDefault="00EF4EC1" w:rsidP="00EF4EC1">
                  <w:pPr>
                    <w:pStyle w:val="Slide2"/>
                    <w:tabs>
                      <w:tab w:val="left" w:pos="459"/>
                    </w:tabs>
                    <w:ind w:left="0" w:firstLine="0"/>
                    <w:rPr>
                      <w:color w:val="0000FF"/>
                    </w:rPr>
                  </w:pPr>
                </w:p>
              </w:tc>
              <w:tc>
                <w:tcPr>
                  <w:tcW w:w="567" w:type="dxa"/>
                </w:tcPr>
                <w:p w:rsidR="00EF4EC1" w:rsidRPr="00172784" w:rsidRDefault="00EF4EC1" w:rsidP="00EF4EC1">
                  <w:pPr>
                    <w:pStyle w:val="Slide2"/>
                    <w:tabs>
                      <w:tab w:val="left" w:pos="459"/>
                    </w:tabs>
                    <w:ind w:left="0" w:firstLine="0"/>
                    <w:jc w:val="both"/>
                    <w:rPr>
                      <w:color w:val="0000FF"/>
                    </w:rPr>
                  </w:pPr>
                  <w:r w:rsidRPr="00172784">
                    <w:rPr>
                      <w:color w:val="0000FF"/>
                    </w:rPr>
                    <w:t>(b)</w:t>
                  </w:r>
                </w:p>
              </w:tc>
              <w:tc>
                <w:tcPr>
                  <w:tcW w:w="3374" w:type="dxa"/>
                </w:tcPr>
                <w:p w:rsidR="00EF4EC1" w:rsidRPr="00172784" w:rsidRDefault="00D22D1E" w:rsidP="00EF4EC1">
                  <w:pPr>
                    <w:pStyle w:val="Slide2"/>
                    <w:tabs>
                      <w:tab w:val="left" w:pos="459"/>
                    </w:tabs>
                    <w:ind w:left="0" w:firstLine="0"/>
                    <w:rPr>
                      <w:color w:val="0000FF"/>
                    </w:rPr>
                  </w:pPr>
                  <m:oMathPara>
                    <m:oMathParaPr>
                      <m:jc m:val="left"/>
                    </m:oMathParaPr>
                    <m:oMath>
                      <m:f>
                        <m:fPr>
                          <m:ctrlPr>
                            <w:rPr>
                              <w:rFonts w:ascii="Cambria Math" w:hAnsi="Cambria Math"/>
                              <w:i/>
                              <w:color w:val="0000FF"/>
                            </w:rPr>
                          </m:ctrlPr>
                        </m:fPr>
                        <m:num>
                          <m:r>
                            <m:rPr>
                              <m:nor/>
                            </m:rPr>
                            <w:rPr>
                              <w:color w:val="0000FF"/>
                            </w:rPr>
                            <m:t>16</m:t>
                          </m:r>
                          <m:r>
                            <m:rPr>
                              <m:nor/>
                            </m:rPr>
                            <w:rPr>
                              <w:rFonts w:ascii="Cambria Math"/>
                              <w:color w:val="0000FF"/>
                            </w:rPr>
                            <m:t> </m:t>
                          </m:r>
                          <m:r>
                            <m:rPr>
                              <m:nor/>
                            </m:rPr>
                            <w:rPr>
                              <w:color w:val="0000FF"/>
                            </w:rPr>
                            <m:t>200</m:t>
                          </m:r>
                        </m:num>
                        <m:den>
                          <m:r>
                            <m:rPr>
                              <m:nor/>
                            </m:rPr>
                            <w:rPr>
                              <w:color w:val="0000FF"/>
                            </w:rPr>
                            <m:t>182</m:t>
                          </m:r>
                        </m:den>
                      </m:f>
                    </m:oMath>
                  </m:oMathPara>
                </w:p>
              </w:tc>
              <w:tc>
                <w:tcPr>
                  <w:tcW w:w="567" w:type="dxa"/>
                  <w:tcBorders>
                    <w:bottom w:val="single" w:sz="4" w:space="0" w:color="auto"/>
                    <w:right w:val="single" w:sz="4" w:space="0" w:color="auto"/>
                  </w:tcBorders>
                </w:tcPr>
                <w:p w:rsidR="00EF4EC1" w:rsidRPr="00172784" w:rsidRDefault="00EF4EC1" w:rsidP="00EF4EC1">
                  <w:pPr>
                    <w:pStyle w:val="Slide2"/>
                    <w:tabs>
                      <w:tab w:val="left" w:pos="459"/>
                    </w:tabs>
                    <w:ind w:left="0" w:firstLine="0"/>
                    <w:rPr>
                      <w:color w:val="0000FF"/>
                    </w:rPr>
                  </w:pPr>
                </w:p>
              </w:tc>
            </w:tr>
          </w:tbl>
          <w:p w:rsidR="00EF4EC1" w:rsidRPr="00E331FB" w:rsidRDefault="00EF4EC1" w:rsidP="00EF4EC1">
            <w:pPr>
              <w:pStyle w:val="SlideEquation"/>
              <w:rPr>
                <w:color w:val="0000FF"/>
              </w:rPr>
            </w:pPr>
          </w:p>
        </w:tc>
      </w:tr>
    </w:tbl>
    <w:p w:rsidR="00EF4EC1" w:rsidRPr="007D7133" w:rsidRDefault="00EF4EC1" w:rsidP="00EF4EC1">
      <w:pPr>
        <w:pStyle w:val="Normaltext1"/>
      </w:pPr>
      <w:bookmarkStart w:id="182" w:name="_Ref475713666"/>
      <w:bookmarkStart w:id="183" w:name="_Ref475805824"/>
      <w:bookmarkStart w:id="184" w:name="_Ref475709028"/>
      <w:r w:rsidRPr="007D7133">
        <w:t>If you have 2 or more related calculations, be consistent – if you use a formula for one, use formulae for all (see example 33).</w:t>
      </w:r>
    </w:p>
    <w:p w:rsidR="00EF4EC1" w:rsidRPr="00616683" w:rsidRDefault="00EF4EC1" w:rsidP="00EF4EC1">
      <w:pPr>
        <w:pStyle w:val="Slidelabel"/>
      </w:pPr>
      <w:bookmarkStart w:id="185" w:name="_Ref477013542"/>
      <w:r w:rsidRPr="00616683">
        <w:lastRenderedPageBreak/>
        <w:t xml:space="preserve">Multiple related </w:t>
      </w:r>
      <w:bookmarkEnd w:id="182"/>
      <w:r w:rsidRPr="00616683">
        <w:t>calculations</w:t>
      </w:r>
      <w:bookmarkEnd w:id="183"/>
      <w:bookmarkEnd w:id="185"/>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DF2FCF" w:rsidTr="00EF4EC1">
        <w:trPr>
          <w:cantSplit/>
        </w:trPr>
        <w:tc>
          <w:tcPr>
            <w:tcW w:w="8505" w:type="dxa"/>
            <w:shd w:val="clear" w:color="auto" w:fill="FFFFFF"/>
          </w:tcPr>
          <w:p w:rsidR="00EF4EC1" w:rsidRPr="00E331FB" w:rsidRDefault="00EF4EC1" w:rsidP="00EF4EC1">
            <w:pPr>
              <w:pStyle w:val="Slide1"/>
              <w:keepNext w:val="0"/>
              <w:rPr>
                <w:color w:val="0000FF"/>
              </w:rPr>
            </w:pPr>
            <w:r w:rsidRPr="00E331FB">
              <w:rPr>
                <w:color w:val="0000FF"/>
              </w:rPr>
              <w:t>236</w:t>
            </w:r>
            <w:r w:rsidRPr="00E331FB">
              <w:rPr>
                <w:color w:val="0000FF"/>
              </w:rPr>
              <w:tab/>
              <w:t>Amount of duty payable</w:t>
            </w:r>
          </w:p>
          <w:p w:rsidR="00EF4EC1" w:rsidRPr="00E331FB" w:rsidRDefault="00EF4EC1" w:rsidP="00EF4EC1">
            <w:pPr>
              <w:pStyle w:val="Slide2"/>
              <w:rPr>
                <w:color w:val="0000FF"/>
              </w:rPr>
            </w:pPr>
            <w:r w:rsidRPr="00E331FB">
              <w:rPr>
                <w:color w:val="0000FF"/>
              </w:rPr>
              <w:t>(1)</w:t>
            </w:r>
            <w:r w:rsidRPr="00E331FB">
              <w:rPr>
                <w:color w:val="0000FF"/>
              </w:rPr>
              <w:tab/>
              <w:t>The amount of duty payable on the grant or transfer of a licence for a vehicle is worked out under this section (rounded down to the nearest 5 cents).</w:t>
            </w:r>
          </w:p>
          <w:p w:rsidR="00EF4EC1" w:rsidRPr="00E331FB" w:rsidRDefault="00EF4EC1" w:rsidP="00EF4EC1">
            <w:pPr>
              <w:pStyle w:val="Slide2"/>
              <w:rPr>
                <w:color w:val="0000FF"/>
              </w:rPr>
            </w:pPr>
            <w:r w:rsidRPr="00E331FB">
              <w:rPr>
                <w:color w:val="0000FF"/>
              </w:rPr>
              <w:t>(2)</w:t>
            </w:r>
            <w:r w:rsidRPr="00E331FB">
              <w:rPr>
                <w:color w:val="0000FF"/>
              </w:rPr>
              <w:tab/>
              <w:t>For the grant or transfer of a licence for a vehicle that is not a heavy vehicle, the amount of duty is:</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if the dutiable value of the vehicle does not exceed $20</w:t>
            </w:r>
            <w:r>
              <w:rPr>
                <w:color w:val="0000FF"/>
              </w:rPr>
              <w:t> 000</w:t>
            </w:r>
            <w:r w:rsidRPr="00E331FB">
              <w:rPr>
                <w:color w:val="0000FF"/>
              </w:rPr>
              <w:t> – 2.75% of the dutiable value; or</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if the dutiable value of the vehicle exceeds $20</w:t>
            </w:r>
            <w:r>
              <w:rPr>
                <w:color w:val="0000FF"/>
              </w:rPr>
              <w:t> 000</w:t>
            </w:r>
            <w:r w:rsidRPr="00E331FB">
              <w:rPr>
                <w:color w:val="0000FF"/>
              </w:rPr>
              <w:t xml:space="preserve"> but does not exceed $45</w:t>
            </w:r>
            <w:r>
              <w:rPr>
                <w:color w:val="0000FF"/>
              </w:rPr>
              <w:t> 000</w:t>
            </w:r>
            <w:r w:rsidRPr="00E331FB">
              <w:rPr>
                <w:color w:val="0000FF"/>
              </w:rPr>
              <w:t> – r% of the dutiable value, where r is determined in accordance with the following formula:</w:t>
            </w:r>
          </w:p>
          <w:p w:rsidR="00EF4EC1" w:rsidRPr="00E331FB" w:rsidRDefault="00EF4EC1" w:rsidP="00EF4EC1">
            <w:pPr>
              <w:pStyle w:val="SlideEquation"/>
              <w:ind w:left="1134"/>
              <w:rPr>
                <w:color w:val="0000FF"/>
                <w:oMath/>
              </w:rPr>
            </w:pPr>
            <m:oMathPara>
              <m:oMathParaPr>
                <m:jc m:val="left"/>
              </m:oMathParaPr>
              <m:oMath>
                <m:r>
                  <m:rPr>
                    <m:nor/>
                  </m:rPr>
                  <w:rPr>
                    <w:color w:val="0000FF"/>
                  </w:rPr>
                  <m:t>r</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i/>
                        <w:color w:val="0000FF"/>
                      </w:rPr>
                    </m:ctrlPr>
                  </m:dPr>
                  <m:e>
                    <m:r>
                      <m:rPr>
                        <m:nor/>
                      </m:rPr>
                      <w:rPr>
                        <w:color w:val="0000FF"/>
                      </w:rPr>
                      <m:t>2.75</m:t>
                    </m:r>
                    <m:r>
                      <m:rPr>
                        <m:nor/>
                      </m:rPr>
                      <w:rPr>
                        <w:rFonts w:ascii="Cambria Math"/>
                        <w:color w:val="0000FF"/>
                      </w:rPr>
                      <m:t xml:space="preserve"> </m:t>
                    </m:r>
                    <m:r>
                      <m:rPr>
                        <m:nor/>
                      </m:rPr>
                      <w:rPr>
                        <w:rFonts w:ascii="Cambria Math" w:hAnsi="Cambria Math"/>
                        <w:color w:val="0000FF"/>
                      </w:rPr>
                      <m:t>+</m:t>
                    </m:r>
                    <m:r>
                      <m:rPr>
                        <m:nor/>
                      </m:rPr>
                      <w:rPr>
                        <w:color w:val="0000FF"/>
                      </w:rPr>
                      <m:t xml:space="preserve"> </m:t>
                    </m:r>
                    <m:d>
                      <m:dPr>
                        <m:ctrlPr>
                          <w:rPr>
                            <w:rFonts w:ascii="Cambria Math" w:hAnsi="Cambria Math"/>
                            <w:i/>
                            <w:color w:val="0000FF"/>
                          </w:rPr>
                        </m:ctrlPr>
                      </m:dPr>
                      <m:e>
                        <m:f>
                          <m:fPr>
                            <m:ctrlPr>
                              <w:rPr>
                                <w:rFonts w:ascii="Cambria Math" w:hAnsi="Cambria Math"/>
                                <w:i/>
                                <w:color w:val="0000FF"/>
                              </w:rPr>
                            </m:ctrlPr>
                          </m:fPr>
                          <m:num>
                            <m:r>
                              <m:rPr>
                                <m:nor/>
                              </m:rPr>
                              <w:rPr>
                                <w:color w:val="0000FF"/>
                              </w:rPr>
                              <m:t>dv</m:t>
                            </m:r>
                            <m:r>
                              <m:rPr>
                                <m:sty m:val="p"/>
                              </m:rPr>
                              <w:rPr>
                                <w:rFonts w:ascii="Cambria Math" w:hAnsi="Cambria Math"/>
                                <w:color w:val="0000FF"/>
                              </w:rPr>
                              <m:t>-</m:t>
                            </m:r>
                            <m:r>
                              <m:rPr>
                                <m:nor/>
                              </m:rPr>
                              <w:rPr>
                                <w:color w:val="0000FF"/>
                              </w:rPr>
                              <m:t>20</m:t>
                            </m:r>
                            <m:r>
                              <m:rPr>
                                <m:nor/>
                              </m:rPr>
                              <w:rPr>
                                <w:rFonts w:ascii="Cambria Math"/>
                                <w:color w:val="0000FF"/>
                              </w:rPr>
                              <m:t> </m:t>
                            </m:r>
                            <m:r>
                              <m:rPr>
                                <m:nor/>
                              </m:rPr>
                              <w:rPr>
                                <w:color w:val="0000FF"/>
                              </w:rPr>
                              <m:t>000</m:t>
                            </m:r>
                          </m:num>
                          <m:den>
                            <m:r>
                              <m:rPr>
                                <m:nor/>
                              </m:rPr>
                              <w:rPr>
                                <w:color w:val="0000FF"/>
                              </w:rPr>
                              <m:t>6666.66</m:t>
                            </m:r>
                          </m:den>
                        </m:f>
                      </m:e>
                    </m:d>
                    <m:r>
                      <w:rPr>
                        <w:rFonts w:ascii="Cambria Math" w:hAnsi="Cambria Math"/>
                        <w:color w:val="0000FF"/>
                      </w:rPr>
                      <m:t xml:space="preserve"> </m:t>
                    </m:r>
                  </m:e>
                </m:d>
              </m:oMath>
            </m:oMathPara>
          </w:p>
          <w:p w:rsidR="00EF4EC1" w:rsidRPr="00E331FB" w:rsidRDefault="00EF4EC1" w:rsidP="00EF4EC1">
            <w:pPr>
              <w:pStyle w:val="Slide4"/>
              <w:rPr>
                <w:color w:val="0000FF"/>
              </w:rPr>
            </w:pPr>
            <w:r w:rsidRPr="00E331FB">
              <w:rPr>
                <w:color w:val="0000FF"/>
              </w:rPr>
              <w:t>where</w:t>
            </w:r>
            <w:r>
              <w:rPr>
                <w:color w:val="0000FF"/>
              </w:rPr>
              <w:t xml:space="preserve"> </w:t>
            </w:r>
            <w:r w:rsidRPr="00E331FB">
              <w:rPr>
                <w:color w:val="0000FF"/>
              </w:rPr>
              <w:t>dv</w:t>
            </w:r>
            <w:r w:rsidRPr="00E331FB">
              <w:rPr>
                <w:color w:val="0000FF"/>
              </w:rPr>
              <w:tab/>
              <w:t>=</w:t>
            </w:r>
            <w:r>
              <w:rPr>
                <w:color w:val="0000FF"/>
              </w:rPr>
              <w:t xml:space="preserve"> </w:t>
            </w:r>
            <w:r w:rsidRPr="00E331FB">
              <w:rPr>
                <w:color w:val="0000FF"/>
              </w:rPr>
              <w:t>dutiable value;</w:t>
            </w:r>
            <w:r>
              <w:rPr>
                <w:color w:val="0000FF"/>
              </w:rPr>
              <w:t xml:space="preserve"> </w:t>
            </w:r>
            <w:r w:rsidRPr="00E331FB">
              <w:rPr>
                <w:color w:val="0000FF"/>
              </w:rPr>
              <w:t>or</w:t>
            </w:r>
          </w:p>
          <w:p w:rsidR="00EF4EC1" w:rsidRPr="00E331FB" w:rsidRDefault="00EF4EC1" w:rsidP="00EF4EC1">
            <w:pPr>
              <w:pStyle w:val="Slide3"/>
              <w:keepNext/>
              <w:tabs>
                <w:tab w:val="clear" w:pos="1021"/>
              </w:tabs>
              <w:rPr>
                <w:color w:val="0000FF"/>
              </w:rPr>
            </w:pPr>
            <w:r w:rsidRPr="00E331FB">
              <w:rPr>
                <w:color w:val="0000FF"/>
              </w:rPr>
              <w:t>(c)</w:t>
            </w:r>
            <w:r w:rsidRPr="00E331FB">
              <w:rPr>
                <w:color w:val="0000FF"/>
              </w:rPr>
              <w:tab/>
              <w:t>if the dutiable value of the vehicle exceeds $45</w:t>
            </w:r>
            <w:r>
              <w:rPr>
                <w:color w:val="0000FF"/>
              </w:rPr>
              <w:t> 000</w:t>
            </w:r>
            <w:r w:rsidRPr="00E331FB">
              <w:rPr>
                <w:color w:val="0000FF"/>
              </w:rPr>
              <w:t> – 6.5% of the dutiable value.</w:t>
            </w:r>
          </w:p>
          <w:p w:rsidR="00EF4EC1" w:rsidRPr="00E331FB" w:rsidRDefault="00EF4EC1" w:rsidP="00EF4EC1">
            <w:pPr>
              <w:pStyle w:val="Slide2"/>
              <w:rPr>
                <w:color w:val="0000FF"/>
              </w:rPr>
            </w:pPr>
            <w:r w:rsidRPr="00E331FB">
              <w:rPr>
                <w:color w:val="0000FF"/>
              </w:rPr>
              <w:t>(3)</w:t>
            </w:r>
            <w:r w:rsidRPr="00E331FB">
              <w:rPr>
                <w:color w:val="0000FF"/>
              </w:rPr>
              <w:tab/>
              <w:t>For the grant or transfer of a licence for a heavy vehicle, the amount of duty is the lesser of:</w:t>
            </w:r>
          </w:p>
          <w:p w:rsidR="00EF4EC1" w:rsidRPr="00E331FB" w:rsidRDefault="00EF4EC1" w:rsidP="00EF4EC1">
            <w:pPr>
              <w:pStyle w:val="Slide3"/>
              <w:tabs>
                <w:tab w:val="clear" w:pos="1021"/>
              </w:tabs>
              <w:spacing w:before="60"/>
              <w:rPr>
                <w:color w:val="0000FF"/>
              </w:rPr>
            </w:pPr>
            <w:r w:rsidRPr="00E331FB">
              <w:rPr>
                <w:color w:val="0000FF"/>
              </w:rPr>
              <w:t>(a)</w:t>
            </w:r>
            <w:r w:rsidRPr="00E331FB">
              <w:rPr>
                <w:color w:val="0000FF"/>
              </w:rPr>
              <w:tab/>
              <w:t>3% of the dutiable value; and</w:t>
            </w:r>
          </w:p>
          <w:p w:rsidR="00EF4EC1" w:rsidRPr="00E331FB" w:rsidRDefault="00EF4EC1" w:rsidP="00EF4EC1">
            <w:pPr>
              <w:pStyle w:val="Slide3"/>
              <w:tabs>
                <w:tab w:val="clear" w:pos="1021"/>
              </w:tabs>
              <w:spacing w:before="60"/>
              <w:rPr>
                <w:color w:val="0000FF"/>
              </w:rPr>
            </w:pPr>
            <w:r w:rsidRPr="00E331FB">
              <w:rPr>
                <w:color w:val="0000FF"/>
              </w:rPr>
              <w:t>(b)</w:t>
            </w:r>
            <w:r w:rsidRPr="00E331FB">
              <w:rPr>
                <w:color w:val="0000FF"/>
              </w:rPr>
              <w:tab/>
              <w:t>$12</w:t>
            </w:r>
            <w:r>
              <w:rPr>
                <w:color w:val="0000FF"/>
              </w:rPr>
              <w:t> 000</w:t>
            </w:r>
            <w:r w:rsidRPr="00E331FB">
              <w:rPr>
                <w:color w:val="0000FF"/>
              </w:rPr>
              <w:t>.</w:t>
            </w:r>
          </w:p>
        </w:tc>
      </w:tr>
      <w:tr w:rsidR="00EF4EC1" w:rsidRPr="00DF2FCF" w:rsidTr="00EF4EC1">
        <w:tc>
          <w:tcPr>
            <w:tcW w:w="8505" w:type="dxa"/>
            <w:shd w:val="clear" w:color="auto" w:fill="FFFFFF"/>
          </w:tcPr>
          <w:p w:rsidR="00EF4EC1" w:rsidRPr="00E331FB" w:rsidRDefault="00EF4EC1" w:rsidP="00EF4EC1">
            <w:pPr>
              <w:pStyle w:val="Slide2"/>
              <w:rPr>
                <w:i/>
                <w:color w:val="0000FF"/>
              </w:rPr>
            </w:pPr>
            <w:r w:rsidRPr="00E331FB">
              <w:rPr>
                <w:i/>
                <w:color w:val="0000FF"/>
              </w:rPr>
              <w:t>With all calculations written as formulae</w:t>
            </w:r>
          </w:p>
          <w:p w:rsidR="00EF4EC1" w:rsidRPr="00E331FB" w:rsidRDefault="00EF4EC1" w:rsidP="00EF4EC1">
            <w:pPr>
              <w:pStyle w:val="Slide1"/>
              <w:keepNext w:val="0"/>
              <w:rPr>
                <w:color w:val="0000FF"/>
              </w:rPr>
            </w:pPr>
            <w:r w:rsidRPr="00E331FB">
              <w:rPr>
                <w:color w:val="0000FF"/>
              </w:rPr>
              <w:t>236</w:t>
            </w:r>
            <w:r w:rsidRPr="00E331FB">
              <w:rPr>
                <w:color w:val="0000FF"/>
              </w:rPr>
              <w:tab/>
              <w:t>Amount of duty payable</w:t>
            </w:r>
          </w:p>
          <w:p w:rsidR="00EF4EC1" w:rsidRPr="00E331FB" w:rsidRDefault="00EF4EC1" w:rsidP="00EF4EC1">
            <w:pPr>
              <w:pStyle w:val="Slide2"/>
              <w:spacing w:after="120"/>
              <w:rPr>
                <w:color w:val="0000FF"/>
              </w:rPr>
            </w:pPr>
            <w:r w:rsidRPr="00E331FB">
              <w:rPr>
                <w:color w:val="0000FF"/>
              </w:rPr>
              <w:tab/>
              <w:t>The amount of duty payable on the grant or transfer of a licence for a vehicle is the amount determined as set out in the following Table (rounded down to the nearest 5 cents).</w:t>
            </w:r>
          </w:p>
          <w:tbl>
            <w:tblPr>
              <w:tblW w:w="737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000" w:firstRow="0" w:lastRow="0" w:firstColumn="0" w:lastColumn="0" w:noHBand="0" w:noVBand="0"/>
            </w:tblPr>
            <w:tblGrid>
              <w:gridCol w:w="1418"/>
              <w:gridCol w:w="2693"/>
              <w:gridCol w:w="3260"/>
            </w:tblGrid>
            <w:tr w:rsidR="00EF4EC1" w:rsidRPr="00E331FB" w:rsidTr="00EF4EC1">
              <w:trPr>
                <w:cantSplit/>
              </w:trPr>
              <w:tc>
                <w:tcPr>
                  <w:tcW w:w="1418" w:type="dxa"/>
                </w:tcPr>
                <w:p w:rsidR="00EF4EC1" w:rsidRPr="00E331FB" w:rsidRDefault="00EF4EC1" w:rsidP="00EF4EC1">
                  <w:pPr>
                    <w:rPr>
                      <w:rFonts w:ascii="Arial" w:hAnsi="Arial" w:cs="Arial"/>
                      <w:b/>
                      <w:bCs/>
                      <w:color w:val="0000FF"/>
                      <w:sz w:val="22"/>
                      <w:szCs w:val="22"/>
                    </w:rPr>
                  </w:pPr>
                  <w:r w:rsidRPr="00E331FB">
                    <w:rPr>
                      <w:rFonts w:ascii="Arial" w:hAnsi="Arial" w:cs="Arial"/>
                      <w:b/>
                      <w:bCs/>
                      <w:color w:val="0000FF"/>
                      <w:sz w:val="22"/>
                      <w:szCs w:val="22"/>
                    </w:rPr>
                    <w:t>Type of vehicle</w:t>
                  </w:r>
                </w:p>
              </w:tc>
              <w:tc>
                <w:tcPr>
                  <w:tcW w:w="2693" w:type="dxa"/>
                </w:tcPr>
                <w:p w:rsidR="00EF4EC1" w:rsidRPr="00E331FB" w:rsidRDefault="00EF4EC1" w:rsidP="00EF4EC1">
                  <w:pPr>
                    <w:ind w:left="28"/>
                    <w:rPr>
                      <w:rFonts w:ascii="Arial" w:hAnsi="Arial" w:cs="Arial"/>
                      <w:color w:val="0000FF"/>
                      <w:sz w:val="22"/>
                      <w:szCs w:val="22"/>
                    </w:rPr>
                  </w:pPr>
                  <w:r w:rsidRPr="00E331FB">
                    <w:rPr>
                      <w:rFonts w:ascii="Arial" w:hAnsi="Arial" w:cs="Arial"/>
                      <w:b/>
                      <w:bCs/>
                      <w:color w:val="0000FF"/>
                      <w:sz w:val="22"/>
                      <w:szCs w:val="22"/>
                    </w:rPr>
                    <w:t xml:space="preserve">Dutiable value </w:t>
                  </w:r>
                  <w:r w:rsidRPr="00E331FB">
                    <w:rPr>
                      <w:rFonts w:ascii="Arial" w:hAnsi="Arial" w:cs="Arial"/>
                      <w:b/>
                      <w:bCs/>
                      <w:color w:val="0000FF"/>
                      <w:sz w:val="22"/>
                      <w:szCs w:val="22"/>
                    </w:rPr>
                    <w:br/>
                    <w:t>($v)</w:t>
                  </w:r>
                </w:p>
              </w:tc>
              <w:tc>
                <w:tcPr>
                  <w:tcW w:w="3260" w:type="dxa"/>
                </w:tcPr>
                <w:p w:rsidR="00EF4EC1" w:rsidRPr="00E331FB" w:rsidRDefault="00EF4EC1" w:rsidP="00EF4EC1">
                  <w:pPr>
                    <w:ind w:left="28"/>
                    <w:rPr>
                      <w:rFonts w:ascii="Arial" w:hAnsi="Arial" w:cs="Arial"/>
                      <w:b/>
                      <w:bCs/>
                      <w:color w:val="0000FF"/>
                      <w:sz w:val="22"/>
                      <w:szCs w:val="22"/>
                    </w:rPr>
                  </w:pPr>
                  <w:r w:rsidRPr="00E331FB">
                    <w:rPr>
                      <w:rFonts w:ascii="Arial" w:hAnsi="Arial" w:cs="Arial"/>
                      <w:b/>
                      <w:bCs/>
                      <w:color w:val="0000FF"/>
                      <w:sz w:val="22"/>
                      <w:szCs w:val="22"/>
                    </w:rPr>
                    <w:t xml:space="preserve">Amount of duty </w:t>
                  </w:r>
                  <w:r w:rsidRPr="00E331FB">
                    <w:rPr>
                      <w:rFonts w:ascii="Arial" w:hAnsi="Arial" w:cs="Arial"/>
                      <w:b/>
                      <w:bCs/>
                      <w:color w:val="0000FF"/>
                      <w:sz w:val="22"/>
                      <w:szCs w:val="22"/>
                    </w:rPr>
                    <w:br/>
                    <w:t>($d)</w:t>
                  </w:r>
                </w:p>
              </w:tc>
            </w:tr>
            <w:tr w:rsidR="00EF4EC1" w:rsidRPr="00E331FB" w:rsidTr="00EF4EC1">
              <w:trPr>
                <w:cantSplit/>
                <w:trHeight w:val="676"/>
              </w:trPr>
              <w:tc>
                <w:tcPr>
                  <w:tcW w:w="1418" w:type="dxa"/>
                  <w:vMerge w:val="restart"/>
                  <w:vAlign w:val="center"/>
                </w:tcPr>
                <w:p w:rsidR="00EF4EC1" w:rsidRPr="00E331FB" w:rsidRDefault="00EF4EC1" w:rsidP="00EF4EC1">
                  <w:pPr>
                    <w:pStyle w:val="Table"/>
                    <w:spacing w:before="0" w:line="240" w:lineRule="auto"/>
                    <w:rPr>
                      <w:rFonts w:ascii="Arial" w:hAnsi="Arial" w:cs="Arial"/>
                      <w:color w:val="0000FF"/>
                      <w:szCs w:val="22"/>
                    </w:rPr>
                  </w:pPr>
                  <w:r w:rsidRPr="00E331FB">
                    <w:rPr>
                      <w:rFonts w:ascii="Arial" w:hAnsi="Arial" w:cs="Arial"/>
                      <w:color w:val="0000FF"/>
                      <w:szCs w:val="22"/>
                    </w:rPr>
                    <w:t>Not a heavy vehicle</w:t>
                  </w:r>
                </w:p>
              </w:tc>
              <w:tc>
                <w:tcPr>
                  <w:tcW w:w="2693" w:type="dxa"/>
                  <w:vAlign w:val="center"/>
                </w:tcPr>
                <w:p w:rsidR="00EF4EC1" w:rsidRPr="00E331FB" w:rsidRDefault="00EF4EC1" w:rsidP="00EF4EC1">
                  <w:pPr>
                    <w:pStyle w:val="Table"/>
                    <w:spacing w:before="0" w:line="240" w:lineRule="auto"/>
                    <w:ind w:left="28"/>
                    <w:rPr>
                      <w:rFonts w:ascii="Arial" w:hAnsi="Arial" w:cs="Arial"/>
                      <w:color w:val="0000FF"/>
                      <w:szCs w:val="22"/>
                    </w:rPr>
                  </w:pPr>
                  <w:r w:rsidRPr="00E331FB">
                    <w:rPr>
                      <w:rFonts w:ascii="Arial" w:hAnsi="Arial" w:cs="Arial"/>
                      <w:color w:val="0000FF"/>
                      <w:szCs w:val="22"/>
                    </w:rPr>
                    <w:t>v</w:t>
                  </w:r>
                  <w:r>
                    <w:rPr>
                      <w:rFonts w:ascii="Arial" w:hAnsi="Arial" w:cs="Arial"/>
                      <w:color w:val="0000FF"/>
                      <w:szCs w:val="22"/>
                    </w:rPr>
                    <w:t xml:space="preserve"> </w:t>
                  </w:r>
                  <w:r w:rsidRPr="00E331FB">
                    <w:rPr>
                      <w:rFonts w:ascii="Arial" w:hAnsi="Arial" w:cs="Arial"/>
                      <w:color w:val="0000FF"/>
                      <w:szCs w:val="22"/>
                    </w:rPr>
                    <w:t>≤</w:t>
                  </w:r>
                  <w:r>
                    <w:rPr>
                      <w:rFonts w:ascii="Arial" w:hAnsi="Arial" w:cs="Arial"/>
                      <w:color w:val="0000FF"/>
                      <w:szCs w:val="22"/>
                    </w:rPr>
                    <w:t xml:space="preserve"> </w:t>
                  </w:r>
                  <w:r w:rsidRPr="00E331FB">
                    <w:rPr>
                      <w:rFonts w:ascii="Arial" w:hAnsi="Arial" w:cs="Arial"/>
                      <w:color w:val="0000FF"/>
                      <w:szCs w:val="22"/>
                    </w:rPr>
                    <w:t>20</w:t>
                  </w:r>
                  <w:r>
                    <w:rPr>
                      <w:rFonts w:ascii="Arial" w:hAnsi="Arial" w:cs="Arial"/>
                      <w:color w:val="0000FF"/>
                      <w:szCs w:val="22"/>
                    </w:rPr>
                    <w:t> 000</w:t>
                  </w:r>
                </w:p>
              </w:tc>
              <w:tc>
                <w:tcPr>
                  <w:tcW w:w="3260" w:type="dxa"/>
                  <w:vAlign w:val="center"/>
                </w:tcPr>
                <w:p w:rsidR="00EF4EC1" w:rsidRPr="00E331FB" w:rsidRDefault="00EF4EC1" w:rsidP="00EF4EC1">
                  <w:pPr>
                    <w:ind w:left="28"/>
                    <w:rPr>
                      <w:rFonts w:ascii="Arial" w:hAnsi="Arial" w:cs="Arial"/>
                      <w:color w:val="0000FF"/>
                      <w:sz w:val="22"/>
                      <w:szCs w:val="22"/>
                    </w:rPr>
                  </w:pPr>
                  <m:oMathPara>
                    <m:oMathParaPr>
                      <m:jc m:val="left"/>
                    </m:oMathParaPr>
                    <m:oMath>
                      <m:r>
                        <m:rPr>
                          <m:nor/>
                        </m:rPr>
                        <w:rPr>
                          <w:rFonts w:ascii="Arial" w:hAnsi="Arial" w:cs="Arial"/>
                          <w:color w:val="0000FF"/>
                          <w:sz w:val="22"/>
                          <w:szCs w:val="22"/>
                        </w:rPr>
                        <m:t>d</m:t>
                      </m:r>
                      <m:r>
                        <m:rPr>
                          <m:nor/>
                        </m:rPr>
                        <w:rPr>
                          <w:rFonts w:ascii="Cambria Math" w:hAnsi="Arial" w:cs="Arial"/>
                          <w:color w:val="0000FF"/>
                          <w:sz w:val="22"/>
                          <w:szCs w:val="22"/>
                        </w:rPr>
                        <m:t xml:space="preserve"> </m:t>
                      </m:r>
                      <m:r>
                        <m:rPr>
                          <m:nor/>
                        </m:rPr>
                        <w:rPr>
                          <w:rFonts w:ascii="Arial" w:hAnsi="Arial" w:cs="Arial"/>
                          <w:color w:val="0000FF"/>
                          <w:sz w:val="22"/>
                          <w:szCs w:val="22"/>
                        </w:rPr>
                        <m:t>=</m:t>
                      </m:r>
                      <m:r>
                        <m:rPr>
                          <m:nor/>
                        </m:rPr>
                        <w:rPr>
                          <w:rFonts w:ascii="Cambria Math" w:hAnsi="Arial" w:cs="Arial"/>
                          <w:color w:val="0000FF"/>
                          <w:sz w:val="22"/>
                          <w:szCs w:val="22"/>
                        </w:rPr>
                        <m:t xml:space="preserve"> </m:t>
                      </m:r>
                      <m:f>
                        <m:fPr>
                          <m:ctrlPr>
                            <w:rPr>
                              <w:rFonts w:ascii="Cambria Math" w:hAnsi="Cambria Math" w:cs="Arial"/>
                              <w:i/>
                              <w:color w:val="0000FF"/>
                              <w:sz w:val="22"/>
                              <w:szCs w:val="22"/>
                            </w:rPr>
                          </m:ctrlPr>
                        </m:fPr>
                        <m:num>
                          <m:r>
                            <m:rPr>
                              <m:nor/>
                            </m:rPr>
                            <w:rPr>
                              <w:rFonts w:ascii="Arial" w:hAnsi="Arial" w:cs="Arial"/>
                              <w:color w:val="0000FF"/>
                              <w:sz w:val="22"/>
                              <w:szCs w:val="22"/>
                            </w:rPr>
                            <m:t>2.75</m:t>
                          </m:r>
                        </m:num>
                        <m:den>
                          <m:r>
                            <m:rPr>
                              <m:nor/>
                            </m:rPr>
                            <w:rPr>
                              <w:rFonts w:ascii="Arial" w:hAnsi="Arial" w:cs="Arial"/>
                              <w:color w:val="0000FF"/>
                              <w:sz w:val="22"/>
                              <w:szCs w:val="22"/>
                            </w:rPr>
                            <m:t>100</m:t>
                          </m:r>
                        </m:den>
                      </m:f>
                      <m:r>
                        <m:rPr>
                          <m:nor/>
                        </m:rPr>
                        <w:rPr>
                          <w:rFonts w:ascii="Cambria Math"/>
                          <w:color w:val="0000FF"/>
                        </w:rPr>
                        <m:t xml:space="preserve"> </m:t>
                      </m:r>
                      <m:r>
                        <m:rPr>
                          <m:nor/>
                        </m:rPr>
                        <w:rPr>
                          <w:rFonts w:ascii="Cambria Math" w:hAnsi="Cambria Math"/>
                          <w:color w:val="0000FF"/>
                        </w:rPr>
                        <m:t xml:space="preserve">× </m:t>
                      </m:r>
                      <m:r>
                        <m:rPr>
                          <m:nor/>
                        </m:rPr>
                        <w:rPr>
                          <w:rFonts w:ascii="Arial" w:hAnsi="Arial" w:cs="Arial"/>
                          <w:color w:val="0000FF"/>
                          <w:sz w:val="22"/>
                          <w:szCs w:val="22"/>
                        </w:rPr>
                        <m:t>v</m:t>
                      </m:r>
                    </m:oMath>
                  </m:oMathPara>
                </w:p>
              </w:tc>
            </w:tr>
            <w:tr w:rsidR="00EF4EC1" w:rsidRPr="00E331FB" w:rsidTr="00EF4EC1">
              <w:trPr>
                <w:cantSplit/>
                <w:trHeight w:val="1000"/>
              </w:trPr>
              <w:tc>
                <w:tcPr>
                  <w:tcW w:w="1418" w:type="dxa"/>
                  <w:vMerge/>
                </w:tcPr>
                <w:p w:rsidR="00EF4EC1" w:rsidRPr="00E331FB" w:rsidRDefault="00EF4EC1" w:rsidP="00EF4EC1">
                  <w:pPr>
                    <w:pStyle w:val="Table"/>
                    <w:spacing w:before="0" w:line="240" w:lineRule="auto"/>
                    <w:rPr>
                      <w:rFonts w:ascii="Arial" w:hAnsi="Arial" w:cs="Arial"/>
                      <w:color w:val="0000FF"/>
                      <w:szCs w:val="22"/>
                    </w:rPr>
                  </w:pPr>
                </w:p>
              </w:tc>
              <w:tc>
                <w:tcPr>
                  <w:tcW w:w="2693" w:type="dxa"/>
                  <w:vAlign w:val="center"/>
                </w:tcPr>
                <w:p w:rsidR="00EF4EC1" w:rsidRPr="00E331FB" w:rsidRDefault="00EF4EC1" w:rsidP="00EF4EC1">
                  <w:pPr>
                    <w:pStyle w:val="Table"/>
                    <w:spacing w:before="0" w:line="240" w:lineRule="auto"/>
                    <w:ind w:left="28"/>
                    <w:rPr>
                      <w:rFonts w:ascii="Arial" w:hAnsi="Arial" w:cs="Arial"/>
                      <w:color w:val="0000FF"/>
                      <w:szCs w:val="22"/>
                    </w:rPr>
                  </w:pPr>
                  <w:r w:rsidRPr="00E331FB">
                    <w:rPr>
                      <w:rFonts w:ascii="Arial" w:hAnsi="Arial" w:cs="Arial"/>
                      <w:color w:val="0000FF"/>
                      <w:szCs w:val="22"/>
                    </w:rPr>
                    <w:t>20</w:t>
                  </w:r>
                  <w:r>
                    <w:rPr>
                      <w:rFonts w:ascii="Arial" w:hAnsi="Arial" w:cs="Arial"/>
                      <w:color w:val="0000FF"/>
                      <w:szCs w:val="22"/>
                    </w:rPr>
                    <w:t xml:space="preserve"> 000 </w:t>
                  </w:r>
                  <w:r w:rsidRPr="00E331FB">
                    <w:rPr>
                      <w:rFonts w:ascii="Arial" w:hAnsi="Arial" w:cs="Arial"/>
                      <w:color w:val="0000FF"/>
                      <w:szCs w:val="22"/>
                    </w:rPr>
                    <w:t>&lt;</w:t>
                  </w:r>
                  <w:r>
                    <w:rPr>
                      <w:rFonts w:ascii="Arial" w:hAnsi="Arial" w:cs="Arial"/>
                      <w:color w:val="0000FF"/>
                      <w:szCs w:val="22"/>
                    </w:rPr>
                    <w:t xml:space="preserve"> </w:t>
                  </w:r>
                  <w:r w:rsidRPr="00E331FB">
                    <w:rPr>
                      <w:rFonts w:ascii="Arial" w:hAnsi="Arial" w:cs="Arial"/>
                      <w:color w:val="0000FF"/>
                      <w:szCs w:val="22"/>
                    </w:rPr>
                    <w:t>v</w:t>
                  </w:r>
                  <w:r>
                    <w:rPr>
                      <w:rFonts w:ascii="Arial" w:hAnsi="Arial" w:cs="Arial"/>
                      <w:color w:val="0000FF"/>
                      <w:szCs w:val="22"/>
                    </w:rPr>
                    <w:t xml:space="preserve"> </w:t>
                  </w:r>
                  <w:r w:rsidRPr="00E331FB">
                    <w:rPr>
                      <w:rFonts w:ascii="Arial" w:hAnsi="Arial" w:cs="Arial"/>
                      <w:color w:val="0000FF"/>
                      <w:szCs w:val="22"/>
                    </w:rPr>
                    <w:t>≤</w:t>
                  </w:r>
                  <w:r>
                    <w:rPr>
                      <w:rFonts w:ascii="Arial" w:hAnsi="Arial" w:cs="Arial"/>
                      <w:color w:val="0000FF"/>
                      <w:szCs w:val="22"/>
                    </w:rPr>
                    <w:t xml:space="preserve"> </w:t>
                  </w:r>
                  <w:r w:rsidRPr="00E331FB">
                    <w:rPr>
                      <w:rFonts w:ascii="Arial" w:hAnsi="Arial" w:cs="Arial"/>
                      <w:color w:val="0000FF"/>
                      <w:szCs w:val="22"/>
                    </w:rPr>
                    <w:t>45</w:t>
                  </w:r>
                  <w:r>
                    <w:rPr>
                      <w:rFonts w:ascii="Arial" w:hAnsi="Arial" w:cs="Arial"/>
                      <w:color w:val="0000FF"/>
                      <w:szCs w:val="22"/>
                    </w:rPr>
                    <w:t> 000</w:t>
                  </w:r>
                </w:p>
              </w:tc>
              <w:tc>
                <w:tcPr>
                  <w:tcW w:w="3260" w:type="dxa"/>
                  <w:vAlign w:val="center"/>
                </w:tcPr>
                <w:p w:rsidR="00EF4EC1" w:rsidRPr="00E331FB" w:rsidRDefault="00EF4EC1" w:rsidP="00EF4EC1">
                  <w:pPr>
                    <w:ind w:left="28"/>
                    <w:rPr>
                      <w:rFonts w:ascii="Arial" w:hAnsi="Arial" w:cs="Arial"/>
                      <w:color w:val="0000FF"/>
                      <w:sz w:val="22"/>
                      <w:szCs w:val="22"/>
                    </w:rPr>
                  </w:pPr>
                  <m:oMathPara>
                    <m:oMathParaPr>
                      <m:jc m:val="left"/>
                    </m:oMathParaPr>
                    <m:oMath>
                      <m:r>
                        <m:rPr>
                          <m:nor/>
                        </m:rPr>
                        <w:rPr>
                          <w:rFonts w:ascii="Arial" w:hAnsi="Arial" w:cs="Arial"/>
                          <w:color w:val="0000FF"/>
                          <w:sz w:val="22"/>
                          <w:szCs w:val="22"/>
                        </w:rPr>
                        <m:t>d</m:t>
                      </m:r>
                      <m:r>
                        <m:rPr>
                          <m:nor/>
                        </m:rPr>
                        <w:rPr>
                          <w:rFonts w:ascii="Cambria Math" w:hAnsi="Arial" w:cs="Arial"/>
                          <w:color w:val="0000FF"/>
                          <w:sz w:val="22"/>
                          <w:szCs w:val="22"/>
                        </w:rPr>
                        <m:t xml:space="preserve"> </m:t>
                      </m:r>
                      <m:r>
                        <m:rPr>
                          <m:nor/>
                        </m:rPr>
                        <w:rPr>
                          <w:rFonts w:ascii="Arial" w:hAnsi="Arial" w:cs="Arial"/>
                          <w:color w:val="0000FF"/>
                          <w:sz w:val="22"/>
                          <w:szCs w:val="22"/>
                        </w:rPr>
                        <m:t>=</m:t>
                      </m:r>
                      <m:r>
                        <m:rPr>
                          <m:nor/>
                        </m:rPr>
                        <w:rPr>
                          <w:rFonts w:ascii="Cambria Math" w:hAnsi="Arial" w:cs="Arial"/>
                          <w:color w:val="0000FF"/>
                          <w:sz w:val="22"/>
                          <w:szCs w:val="22"/>
                        </w:rPr>
                        <m:t xml:space="preserve"> </m:t>
                      </m:r>
                      <m:f>
                        <m:fPr>
                          <m:ctrlPr>
                            <w:rPr>
                              <w:rFonts w:ascii="Cambria Math" w:hAnsi="Cambria Math" w:cs="Arial"/>
                              <w:i/>
                              <w:color w:val="0000FF"/>
                              <w:sz w:val="22"/>
                              <w:szCs w:val="22"/>
                            </w:rPr>
                          </m:ctrlPr>
                        </m:fPr>
                        <m:num>
                          <m:d>
                            <m:dPr>
                              <m:begChr m:val="["/>
                              <m:endChr m:val="]"/>
                              <m:ctrlPr>
                                <w:rPr>
                                  <w:rFonts w:ascii="Cambria Math" w:hAnsi="Cambria Math" w:cs="Arial"/>
                                  <w:color w:val="0000FF"/>
                                  <w:sz w:val="22"/>
                                  <w:szCs w:val="22"/>
                                </w:rPr>
                              </m:ctrlPr>
                            </m:dPr>
                            <m:e>
                              <m:r>
                                <m:rPr>
                                  <m:nor/>
                                </m:rPr>
                                <w:rPr>
                                  <w:rFonts w:ascii="Arial" w:hAnsi="Arial" w:cs="Arial"/>
                                  <w:color w:val="0000FF"/>
                                  <w:sz w:val="22"/>
                                  <w:szCs w:val="22"/>
                                </w:rPr>
                                <m:t xml:space="preserve">2.75 </m:t>
                              </m:r>
                              <m:r>
                                <m:rPr>
                                  <m:nor/>
                                </m:rPr>
                                <w:rPr>
                                  <w:rFonts w:ascii="Cambria Math" w:hAnsi="Cambria Math" w:cs="Arial"/>
                                  <w:color w:val="0000FF"/>
                                  <w:sz w:val="22"/>
                                  <w:szCs w:val="22"/>
                                </w:rPr>
                                <m:t>+</m:t>
                              </m:r>
                              <m:r>
                                <m:rPr>
                                  <m:nor/>
                                </m:rPr>
                                <w:rPr>
                                  <w:rFonts w:ascii="Arial" w:hAnsi="Arial" w:cs="Arial"/>
                                  <w:color w:val="0000FF"/>
                                  <w:sz w:val="22"/>
                                  <w:szCs w:val="22"/>
                                </w:rPr>
                                <m:t xml:space="preserve"> </m:t>
                              </m:r>
                              <m:d>
                                <m:dPr>
                                  <m:ctrlPr>
                                    <w:rPr>
                                      <w:rFonts w:ascii="Cambria Math" w:hAnsi="Cambria Math" w:cs="Arial"/>
                                      <w:i/>
                                      <w:color w:val="0000FF"/>
                                      <w:sz w:val="22"/>
                                      <w:szCs w:val="22"/>
                                    </w:rPr>
                                  </m:ctrlPr>
                                </m:dPr>
                                <m:e>
                                  <m:f>
                                    <m:fPr>
                                      <m:ctrlPr>
                                        <w:rPr>
                                          <w:rFonts w:ascii="Cambria Math" w:hAnsi="Cambria Math" w:cs="Arial"/>
                                          <w:i/>
                                          <w:color w:val="0000FF"/>
                                          <w:sz w:val="22"/>
                                          <w:szCs w:val="22"/>
                                        </w:rPr>
                                      </m:ctrlPr>
                                    </m:fPr>
                                    <m:num>
                                      <m:r>
                                        <m:rPr>
                                          <m:nor/>
                                        </m:rPr>
                                        <w:rPr>
                                          <w:rFonts w:ascii="Arial" w:hAnsi="Arial" w:cs="Arial"/>
                                          <w:color w:val="0000FF"/>
                                          <w:sz w:val="22"/>
                                          <w:szCs w:val="22"/>
                                        </w:rPr>
                                        <m:t>v</m:t>
                                      </m:r>
                                      <m:r>
                                        <m:rPr>
                                          <m:sty m:val="p"/>
                                        </m:rPr>
                                        <w:rPr>
                                          <w:rFonts w:ascii="Cambria Math" w:hAnsi="Cambria Math" w:cs="Arial"/>
                                          <w:color w:val="0000FF"/>
                                          <w:sz w:val="22"/>
                                          <w:szCs w:val="22"/>
                                        </w:rPr>
                                        <m:t>-</m:t>
                                      </m:r>
                                      <m:r>
                                        <m:rPr>
                                          <m:nor/>
                                        </m:rPr>
                                        <w:rPr>
                                          <w:rFonts w:ascii="Arial" w:hAnsi="Arial" w:cs="Arial"/>
                                          <w:color w:val="0000FF"/>
                                          <w:sz w:val="22"/>
                                          <w:szCs w:val="22"/>
                                        </w:rPr>
                                        <m:t>20</m:t>
                                      </m:r>
                                      <m:r>
                                        <m:rPr>
                                          <m:nor/>
                                        </m:rPr>
                                        <w:rPr>
                                          <w:rFonts w:ascii="Cambria Math" w:hAnsi="Arial" w:cs="Arial"/>
                                          <w:color w:val="0000FF"/>
                                          <w:sz w:val="22"/>
                                          <w:szCs w:val="22"/>
                                        </w:rPr>
                                        <m:t> </m:t>
                                      </m:r>
                                      <m:r>
                                        <m:rPr>
                                          <m:nor/>
                                        </m:rPr>
                                        <w:rPr>
                                          <w:rFonts w:ascii="Arial" w:hAnsi="Arial" w:cs="Arial"/>
                                          <w:color w:val="0000FF"/>
                                          <w:sz w:val="22"/>
                                          <w:szCs w:val="22"/>
                                        </w:rPr>
                                        <m:t>000</m:t>
                                      </m:r>
                                    </m:num>
                                    <m:den>
                                      <m:r>
                                        <m:rPr>
                                          <m:nor/>
                                        </m:rPr>
                                        <w:rPr>
                                          <w:rFonts w:ascii="Arial" w:hAnsi="Arial" w:cs="Arial"/>
                                          <w:color w:val="0000FF"/>
                                          <w:sz w:val="22"/>
                                          <w:szCs w:val="22"/>
                                        </w:rPr>
                                        <m:t>6666.66</m:t>
                                      </m:r>
                                    </m:den>
                                  </m:f>
                                </m:e>
                              </m:d>
                            </m:e>
                          </m:d>
                        </m:num>
                        <m:den>
                          <m:r>
                            <m:rPr>
                              <m:nor/>
                            </m:rPr>
                            <w:rPr>
                              <w:rFonts w:ascii="Arial" w:hAnsi="Arial" w:cs="Arial"/>
                              <w:color w:val="0000FF"/>
                              <w:sz w:val="22"/>
                              <w:szCs w:val="22"/>
                            </w:rPr>
                            <m:t>100</m:t>
                          </m:r>
                        </m:den>
                      </m:f>
                      <m:r>
                        <m:rPr>
                          <m:nor/>
                        </m:rPr>
                        <w:rPr>
                          <w:rFonts w:ascii="Cambria Math"/>
                          <w:color w:val="0000FF"/>
                        </w:rPr>
                        <m:t xml:space="preserve"> </m:t>
                      </m:r>
                      <m:r>
                        <m:rPr>
                          <m:nor/>
                        </m:rPr>
                        <w:rPr>
                          <w:rFonts w:ascii="Cambria Math" w:hAnsi="Cambria Math"/>
                          <w:color w:val="0000FF"/>
                        </w:rPr>
                        <m:t xml:space="preserve">× </m:t>
                      </m:r>
                      <m:r>
                        <m:rPr>
                          <m:nor/>
                        </m:rPr>
                        <w:rPr>
                          <w:rFonts w:ascii="Arial" w:hAnsi="Arial" w:cs="Arial"/>
                          <w:color w:val="0000FF"/>
                          <w:sz w:val="22"/>
                          <w:szCs w:val="22"/>
                        </w:rPr>
                        <m:t>v</m:t>
                      </m:r>
                    </m:oMath>
                  </m:oMathPara>
                </w:p>
              </w:tc>
            </w:tr>
            <w:tr w:rsidR="00EF4EC1" w:rsidRPr="00E331FB" w:rsidTr="00EF4EC1">
              <w:trPr>
                <w:cantSplit/>
                <w:trHeight w:val="732"/>
              </w:trPr>
              <w:tc>
                <w:tcPr>
                  <w:tcW w:w="1418" w:type="dxa"/>
                  <w:vMerge/>
                </w:tcPr>
                <w:p w:rsidR="00EF4EC1" w:rsidRPr="00E331FB" w:rsidRDefault="00EF4EC1" w:rsidP="00EF4EC1">
                  <w:pPr>
                    <w:pStyle w:val="Table"/>
                    <w:spacing w:before="0" w:line="240" w:lineRule="auto"/>
                    <w:rPr>
                      <w:rFonts w:ascii="Arial" w:hAnsi="Arial" w:cs="Arial"/>
                      <w:color w:val="0000FF"/>
                      <w:szCs w:val="22"/>
                    </w:rPr>
                  </w:pPr>
                </w:p>
              </w:tc>
              <w:tc>
                <w:tcPr>
                  <w:tcW w:w="2693" w:type="dxa"/>
                  <w:vAlign w:val="center"/>
                </w:tcPr>
                <w:p w:rsidR="00EF4EC1" w:rsidRPr="00E331FB" w:rsidRDefault="00EF4EC1" w:rsidP="00EF4EC1">
                  <w:pPr>
                    <w:pStyle w:val="Table"/>
                    <w:spacing w:before="0" w:line="240" w:lineRule="auto"/>
                    <w:ind w:left="28"/>
                    <w:rPr>
                      <w:rFonts w:ascii="Arial" w:hAnsi="Arial" w:cs="Arial"/>
                      <w:color w:val="0000FF"/>
                      <w:szCs w:val="22"/>
                    </w:rPr>
                  </w:pPr>
                  <w:r w:rsidRPr="00E331FB">
                    <w:rPr>
                      <w:rFonts w:ascii="Arial" w:hAnsi="Arial" w:cs="Arial"/>
                      <w:color w:val="0000FF"/>
                      <w:szCs w:val="22"/>
                    </w:rPr>
                    <w:t>v</w:t>
                  </w:r>
                  <w:r>
                    <w:rPr>
                      <w:rFonts w:ascii="Arial" w:hAnsi="Arial" w:cs="Arial"/>
                      <w:color w:val="0000FF"/>
                      <w:szCs w:val="22"/>
                    </w:rPr>
                    <w:t xml:space="preserve"> </w:t>
                  </w:r>
                  <w:r w:rsidRPr="00E331FB">
                    <w:rPr>
                      <w:rFonts w:ascii="Arial" w:hAnsi="Arial" w:cs="Arial"/>
                      <w:color w:val="0000FF"/>
                      <w:szCs w:val="22"/>
                    </w:rPr>
                    <w:t>&gt;</w:t>
                  </w:r>
                  <w:r>
                    <w:rPr>
                      <w:rFonts w:ascii="Arial" w:hAnsi="Arial" w:cs="Arial"/>
                      <w:color w:val="0000FF"/>
                      <w:szCs w:val="22"/>
                    </w:rPr>
                    <w:t xml:space="preserve"> </w:t>
                  </w:r>
                  <w:r w:rsidRPr="00E331FB">
                    <w:rPr>
                      <w:rFonts w:ascii="Arial" w:hAnsi="Arial" w:cs="Arial"/>
                      <w:color w:val="0000FF"/>
                      <w:szCs w:val="22"/>
                    </w:rPr>
                    <w:t>4</w:t>
                  </w:r>
                  <w:r>
                    <w:rPr>
                      <w:rFonts w:ascii="Arial" w:hAnsi="Arial" w:cs="Arial"/>
                      <w:color w:val="0000FF"/>
                      <w:szCs w:val="22"/>
                    </w:rPr>
                    <w:t xml:space="preserve"> </w:t>
                  </w:r>
                  <w:r w:rsidRPr="00E331FB">
                    <w:rPr>
                      <w:rFonts w:ascii="Arial" w:hAnsi="Arial" w:cs="Arial"/>
                      <w:color w:val="0000FF"/>
                      <w:szCs w:val="22"/>
                    </w:rPr>
                    <w:t>5</w:t>
                  </w:r>
                  <w:r>
                    <w:rPr>
                      <w:rFonts w:ascii="Arial" w:hAnsi="Arial" w:cs="Arial"/>
                      <w:color w:val="0000FF"/>
                      <w:szCs w:val="22"/>
                    </w:rPr>
                    <w:t> 000</w:t>
                  </w:r>
                </w:p>
              </w:tc>
              <w:tc>
                <w:tcPr>
                  <w:tcW w:w="3260" w:type="dxa"/>
                  <w:vAlign w:val="center"/>
                </w:tcPr>
                <w:p w:rsidR="00EF4EC1" w:rsidRPr="00E331FB" w:rsidRDefault="00EF4EC1" w:rsidP="00EF4EC1">
                  <w:pPr>
                    <w:ind w:left="28"/>
                    <w:rPr>
                      <w:rFonts w:ascii="Arial" w:hAnsi="Arial" w:cs="Arial"/>
                      <w:color w:val="0000FF"/>
                      <w:sz w:val="22"/>
                      <w:szCs w:val="22"/>
                    </w:rPr>
                  </w:pPr>
                  <m:oMathPara>
                    <m:oMathParaPr>
                      <m:jc m:val="left"/>
                    </m:oMathParaPr>
                    <m:oMath>
                      <m:r>
                        <m:rPr>
                          <m:nor/>
                        </m:rPr>
                        <w:rPr>
                          <w:rFonts w:ascii="Arial" w:hAnsi="Arial" w:cs="Arial"/>
                          <w:color w:val="0000FF"/>
                          <w:sz w:val="22"/>
                          <w:szCs w:val="22"/>
                        </w:rPr>
                        <m:t>d</m:t>
                      </m:r>
                      <m:r>
                        <m:rPr>
                          <m:nor/>
                        </m:rPr>
                        <w:rPr>
                          <w:rFonts w:ascii="Cambria Math" w:hAnsi="Arial" w:cs="Arial"/>
                          <w:color w:val="0000FF"/>
                          <w:sz w:val="22"/>
                          <w:szCs w:val="22"/>
                        </w:rPr>
                        <m:t xml:space="preserve"> </m:t>
                      </m:r>
                      <m:r>
                        <m:rPr>
                          <m:nor/>
                        </m:rPr>
                        <w:rPr>
                          <w:rFonts w:ascii="Arial" w:hAnsi="Arial" w:cs="Arial"/>
                          <w:color w:val="0000FF"/>
                          <w:sz w:val="22"/>
                          <w:szCs w:val="22"/>
                        </w:rPr>
                        <m:t>=</m:t>
                      </m:r>
                      <m:r>
                        <m:rPr>
                          <m:nor/>
                        </m:rPr>
                        <w:rPr>
                          <w:rFonts w:ascii="Cambria Math" w:hAnsi="Arial" w:cs="Arial"/>
                          <w:color w:val="0000FF"/>
                          <w:sz w:val="22"/>
                          <w:szCs w:val="22"/>
                        </w:rPr>
                        <m:t xml:space="preserve"> </m:t>
                      </m:r>
                      <m:f>
                        <m:fPr>
                          <m:ctrlPr>
                            <w:rPr>
                              <w:rFonts w:ascii="Cambria Math" w:hAnsi="Cambria Math" w:cs="Arial"/>
                              <w:i/>
                              <w:color w:val="0000FF"/>
                              <w:sz w:val="22"/>
                              <w:szCs w:val="22"/>
                            </w:rPr>
                          </m:ctrlPr>
                        </m:fPr>
                        <m:num>
                          <m:r>
                            <m:rPr>
                              <m:nor/>
                            </m:rPr>
                            <w:rPr>
                              <w:rFonts w:ascii="Arial" w:hAnsi="Arial" w:cs="Arial"/>
                              <w:color w:val="0000FF"/>
                              <w:sz w:val="22"/>
                              <w:szCs w:val="22"/>
                            </w:rPr>
                            <m:t>6.75</m:t>
                          </m:r>
                        </m:num>
                        <m:den>
                          <m:r>
                            <m:rPr>
                              <m:nor/>
                            </m:rPr>
                            <w:rPr>
                              <w:rFonts w:ascii="Arial" w:hAnsi="Arial" w:cs="Arial"/>
                              <w:color w:val="0000FF"/>
                              <w:sz w:val="22"/>
                              <w:szCs w:val="22"/>
                            </w:rPr>
                            <m:t>100</m:t>
                          </m:r>
                        </m:den>
                      </m:f>
                      <m:r>
                        <m:rPr>
                          <m:nor/>
                        </m:rPr>
                        <w:rPr>
                          <w:rFonts w:ascii="Cambria Math"/>
                          <w:color w:val="0000FF"/>
                        </w:rPr>
                        <m:t xml:space="preserve"> </m:t>
                      </m:r>
                      <m:r>
                        <m:rPr>
                          <m:nor/>
                        </m:rPr>
                        <w:rPr>
                          <w:rFonts w:ascii="Cambria Math" w:hAnsi="Cambria Math"/>
                          <w:color w:val="0000FF"/>
                        </w:rPr>
                        <m:t xml:space="preserve">× </m:t>
                      </m:r>
                      <m:r>
                        <m:rPr>
                          <m:nor/>
                        </m:rPr>
                        <w:rPr>
                          <w:rFonts w:ascii="Arial" w:hAnsi="Arial" w:cs="Arial"/>
                          <w:color w:val="0000FF"/>
                          <w:sz w:val="22"/>
                          <w:szCs w:val="22"/>
                        </w:rPr>
                        <m:t>v</m:t>
                      </m:r>
                    </m:oMath>
                  </m:oMathPara>
                </w:p>
              </w:tc>
            </w:tr>
            <w:tr w:rsidR="00EF4EC1" w:rsidRPr="00E331FB" w:rsidTr="00EF4EC1">
              <w:trPr>
                <w:cantSplit/>
                <w:trHeight w:val="716"/>
              </w:trPr>
              <w:tc>
                <w:tcPr>
                  <w:tcW w:w="1418" w:type="dxa"/>
                  <w:vMerge w:val="restart"/>
                  <w:vAlign w:val="center"/>
                </w:tcPr>
                <w:p w:rsidR="00EF4EC1" w:rsidRPr="00E331FB" w:rsidRDefault="00EF4EC1" w:rsidP="00EF4EC1">
                  <w:pPr>
                    <w:rPr>
                      <w:rFonts w:ascii="Arial" w:hAnsi="Arial" w:cs="Arial"/>
                      <w:color w:val="0000FF"/>
                      <w:sz w:val="22"/>
                      <w:szCs w:val="22"/>
                    </w:rPr>
                  </w:pPr>
                  <w:r w:rsidRPr="00E331FB">
                    <w:rPr>
                      <w:rFonts w:ascii="Arial" w:hAnsi="Arial" w:cs="Arial"/>
                      <w:color w:val="0000FF"/>
                      <w:sz w:val="22"/>
                      <w:szCs w:val="22"/>
                    </w:rPr>
                    <w:lastRenderedPageBreak/>
                    <w:t>Heavy vehicle</w:t>
                  </w:r>
                </w:p>
              </w:tc>
              <w:tc>
                <w:tcPr>
                  <w:tcW w:w="2693" w:type="dxa"/>
                  <w:vAlign w:val="center"/>
                </w:tcPr>
                <w:p w:rsidR="00EF4EC1" w:rsidRPr="00E331FB" w:rsidRDefault="00EF4EC1" w:rsidP="00EF4EC1">
                  <w:pPr>
                    <w:ind w:left="28"/>
                    <w:rPr>
                      <w:rFonts w:ascii="Arial" w:hAnsi="Arial" w:cs="Arial"/>
                      <w:color w:val="0000FF"/>
                      <w:sz w:val="22"/>
                      <w:szCs w:val="22"/>
                    </w:rPr>
                  </w:pPr>
                  <w:r w:rsidRPr="00E331FB">
                    <w:rPr>
                      <w:rFonts w:ascii="Arial" w:hAnsi="Arial" w:cs="Arial"/>
                      <w:color w:val="0000FF"/>
                      <w:szCs w:val="22"/>
                    </w:rPr>
                    <w:t>v</w:t>
                  </w:r>
                  <w:r>
                    <w:rPr>
                      <w:rFonts w:ascii="Arial" w:hAnsi="Arial" w:cs="Arial"/>
                      <w:color w:val="0000FF"/>
                      <w:szCs w:val="22"/>
                    </w:rPr>
                    <w:t xml:space="preserve"> </w:t>
                  </w:r>
                  <w:r w:rsidRPr="00E331FB">
                    <w:rPr>
                      <w:rFonts w:ascii="Arial" w:hAnsi="Arial" w:cs="Arial"/>
                      <w:color w:val="0000FF"/>
                      <w:szCs w:val="22"/>
                    </w:rPr>
                    <w:t>≤</w:t>
                  </w:r>
                  <w:r>
                    <w:rPr>
                      <w:rFonts w:ascii="Arial" w:hAnsi="Arial" w:cs="Arial"/>
                      <w:color w:val="0000FF"/>
                      <w:szCs w:val="22"/>
                    </w:rPr>
                    <w:t xml:space="preserve"> </w:t>
                  </w:r>
                  <w:r w:rsidRPr="00E331FB">
                    <w:rPr>
                      <w:rFonts w:ascii="Arial" w:hAnsi="Arial" w:cs="Arial"/>
                      <w:color w:val="0000FF"/>
                      <w:szCs w:val="22"/>
                    </w:rPr>
                    <w:t>400</w:t>
                  </w:r>
                  <w:r>
                    <w:rPr>
                      <w:rFonts w:ascii="Arial" w:hAnsi="Arial" w:cs="Arial"/>
                      <w:color w:val="0000FF"/>
                      <w:szCs w:val="22"/>
                    </w:rPr>
                    <w:t> 000</w:t>
                  </w:r>
                </w:p>
              </w:tc>
              <w:tc>
                <w:tcPr>
                  <w:tcW w:w="3260" w:type="dxa"/>
                  <w:vAlign w:val="center"/>
                </w:tcPr>
                <w:p w:rsidR="00EF4EC1" w:rsidRPr="00E331FB" w:rsidRDefault="00EF4EC1" w:rsidP="00EF4EC1">
                  <w:pPr>
                    <w:ind w:left="28"/>
                    <w:rPr>
                      <w:rFonts w:ascii="Arial" w:hAnsi="Arial" w:cs="Arial"/>
                      <w:color w:val="0000FF"/>
                      <w:sz w:val="22"/>
                      <w:szCs w:val="22"/>
                    </w:rPr>
                  </w:pPr>
                  <m:oMathPara>
                    <m:oMathParaPr>
                      <m:jc m:val="left"/>
                    </m:oMathParaPr>
                    <m:oMath>
                      <m:r>
                        <m:rPr>
                          <m:nor/>
                        </m:rPr>
                        <w:rPr>
                          <w:rFonts w:ascii="Arial" w:hAnsi="Arial" w:cs="Arial"/>
                          <w:color w:val="0000FF"/>
                          <w:sz w:val="22"/>
                          <w:szCs w:val="22"/>
                        </w:rPr>
                        <m:t>d</m:t>
                      </m:r>
                      <m:r>
                        <m:rPr>
                          <m:nor/>
                        </m:rPr>
                        <w:rPr>
                          <w:rFonts w:ascii="Cambria Math" w:hAnsi="Arial" w:cs="Arial"/>
                          <w:color w:val="0000FF"/>
                          <w:sz w:val="22"/>
                          <w:szCs w:val="22"/>
                        </w:rPr>
                        <m:t xml:space="preserve"> </m:t>
                      </m:r>
                      <m:r>
                        <m:rPr>
                          <m:nor/>
                        </m:rPr>
                        <w:rPr>
                          <w:rFonts w:ascii="Arial" w:hAnsi="Arial" w:cs="Arial"/>
                          <w:color w:val="0000FF"/>
                          <w:sz w:val="22"/>
                          <w:szCs w:val="22"/>
                        </w:rPr>
                        <m:t>=</m:t>
                      </m:r>
                      <m:r>
                        <m:rPr>
                          <m:nor/>
                        </m:rPr>
                        <w:rPr>
                          <w:rFonts w:ascii="Cambria Math" w:hAnsi="Arial" w:cs="Arial"/>
                          <w:color w:val="0000FF"/>
                          <w:sz w:val="22"/>
                          <w:szCs w:val="22"/>
                        </w:rPr>
                        <m:t xml:space="preserve"> </m:t>
                      </m:r>
                      <m:f>
                        <m:fPr>
                          <m:ctrlPr>
                            <w:rPr>
                              <w:rFonts w:ascii="Cambria Math" w:hAnsi="Cambria Math" w:cs="Arial"/>
                              <w:i/>
                              <w:color w:val="0000FF"/>
                              <w:sz w:val="22"/>
                              <w:szCs w:val="22"/>
                            </w:rPr>
                          </m:ctrlPr>
                        </m:fPr>
                        <m:num>
                          <m:r>
                            <m:rPr>
                              <m:nor/>
                            </m:rPr>
                            <w:rPr>
                              <w:rFonts w:ascii="Arial" w:hAnsi="Arial" w:cs="Arial"/>
                              <w:color w:val="0000FF"/>
                              <w:sz w:val="22"/>
                              <w:szCs w:val="22"/>
                            </w:rPr>
                            <m:t>3</m:t>
                          </m:r>
                        </m:num>
                        <m:den>
                          <m:r>
                            <m:rPr>
                              <m:nor/>
                            </m:rPr>
                            <w:rPr>
                              <w:rFonts w:ascii="Arial" w:hAnsi="Arial" w:cs="Arial"/>
                              <w:color w:val="0000FF"/>
                              <w:sz w:val="22"/>
                              <w:szCs w:val="22"/>
                            </w:rPr>
                            <m:t>100</m:t>
                          </m:r>
                        </m:den>
                      </m:f>
                      <m:r>
                        <m:rPr>
                          <m:nor/>
                        </m:rPr>
                        <w:rPr>
                          <w:rFonts w:ascii="Cambria Math"/>
                          <w:color w:val="0000FF"/>
                        </w:rPr>
                        <m:t xml:space="preserve"> </m:t>
                      </m:r>
                      <m:r>
                        <m:rPr>
                          <m:nor/>
                        </m:rPr>
                        <w:rPr>
                          <w:rFonts w:ascii="Cambria Math" w:hAnsi="Cambria Math"/>
                          <w:color w:val="0000FF"/>
                        </w:rPr>
                        <m:t xml:space="preserve">× </m:t>
                      </m:r>
                      <m:r>
                        <m:rPr>
                          <m:nor/>
                        </m:rPr>
                        <w:rPr>
                          <w:rFonts w:ascii="Arial" w:hAnsi="Arial" w:cs="Arial"/>
                          <w:color w:val="0000FF"/>
                          <w:sz w:val="22"/>
                          <w:szCs w:val="22"/>
                        </w:rPr>
                        <m:t>v</m:t>
                      </m:r>
                    </m:oMath>
                  </m:oMathPara>
                </w:p>
              </w:tc>
            </w:tr>
            <w:tr w:rsidR="00EF4EC1" w:rsidRPr="00E331FB" w:rsidTr="00EF4EC1">
              <w:trPr>
                <w:cantSplit/>
                <w:trHeight w:val="445"/>
              </w:trPr>
              <w:tc>
                <w:tcPr>
                  <w:tcW w:w="1418" w:type="dxa"/>
                  <w:vMerge/>
                </w:tcPr>
                <w:p w:rsidR="00EF4EC1" w:rsidRPr="00E331FB" w:rsidRDefault="00EF4EC1" w:rsidP="00EF4EC1">
                  <w:pPr>
                    <w:rPr>
                      <w:rFonts w:ascii="Arial" w:hAnsi="Arial" w:cs="Arial"/>
                      <w:color w:val="0000FF"/>
                      <w:sz w:val="22"/>
                      <w:szCs w:val="22"/>
                    </w:rPr>
                  </w:pPr>
                </w:p>
              </w:tc>
              <w:tc>
                <w:tcPr>
                  <w:tcW w:w="2693" w:type="dxa"/>
                  <w:vAlign w:val="center"/>
                </w:tcPr>
                <w:p w:rsidR="00EF4EC1" w:rsidRPr="00E331FB" w:rsidRDefault="00EF4EC1" w:rsidP="00EF4EC1">
                  <w:pPr>
                    <w:ind w:left="28"/>
                    <w:rPr>
                      <w:rFonts w:ascii="Arial" w:hAnsi="Arial" w:cs="Arial"/>
                      <w:color w:val="0000FF"/>
                      <w:sz w:val="22"/>
                      <w:szCs w:val="22"/>
                    </w:rPr>
                  </w:pPr>
                  <w:r w:rsidRPr="00E331FB">
                    <w:rPr>
                      <w:rFonts w:ascii="Arial" w:hAnsi="Arial" w:cs="Arial"/>
                      <w:color w:val="0000FF"/>
                      <w:sz w:val="22"/>
                      <w:szCs w:val="22"/>
                    </w:rPr>
                    <w:t>v</w:t>
                  </w:r>
                  <w:r>
                    <w:rPr>
                      <w:rFonts w:ascii="Arial" w:hAnsi="Arial" w:cs="Arial"/>
                      <w:color w:val="0000FF"/>
                      <w:sz w:val="22"/>
                      <w:szCs w:val="22"/>
                    </w:rPr>
                    <w:t xml:space="preserve"> </w:t>
                  </w:r>
                  <w:r w:rsidRPr="00E331FB">
                    <w:rPr>
                      <w:rFonts w:ascii="Arial" w:hAnsi="Arial" w:cs="Arial"/>
                      <w:color w:val="0000FF"/>
                      <w:sz w:val="22"/>
                      <w:szCs w:val="22"/>
                    </w:rPr>
                    <w:t>&gt;</w:t>
                  </w:r>
                  <w:r>
                    <w:rPr>
                      <w:rFonts w:ascii="Arial" w:hAnsi="Arial" w:cs="Arial"/>
                      <w:color w:val="0000FF"/>
                      <w:sz w:val="22"/>
                      <w:szCs w:val="22"/>
                    </w:rPr>
                    <w:t xml:space="preserve"> </w:t>
                  </w:r>
                  <w:r w:rsidRPr="00E331FB">
                    <w:rPr>
                      <w:rFonts w:ascii="Arial" w:hAnsi="Arial" w:cs="Arial"/>
                      <w:color w:val="0000FF"/>
                      <w:sz w:val="22"/>
                      <w:szCs w:val="22"/>
                    </w:rPr>
                    <w:t>400</w:t>
                  </w:r>
                  <w:r>
                    <w:rPr>
                      <w:rFonts w:ascii="Arial" w:hAnsi="Arial" w:cs="Arial"/>
                      <w:color w:val="0000FF"/>
                      <w:sz w:val="22"/>
                      <w:szCs w:val="22"/>
                    </w:rPr>
                    <w:t> 000</w:t>
                  </w:r>
                </w:p>
              </w:tc>
              <w:tc>
                <w:tcPr>
                  <w:tcW w:w="3260" w:type="dxa"/>
                  <w:vAlign w:val="center"/>
                </w:tcPr>
                <w:p w:rsidR="00EF4EC1" w:rsidRPr="00E331FB" w:rsidRDefault="00EF4EC1" w:rsidP="00EF4EC1">
                  <w:pPr>
                    <w:ind w:left="28"/>
                    <w:rPr>
                      <w:rFonts w:ascii="Arial" w:hAnsi="Arial" w:cs="Arial"/>
                      <w:color w:val="0000FF"/>
                      <w:sz w:val="22"/>
                      <w:szCs w:val="22"/>
                    </w:rPr>
                  </w:pPr>
                  <w:r w:rsidRPr="00E331FB">
                    <w:rPr>
                      <w:rFonts w:ascii="Arial" w:hAnsi="Arial" w:cs="Arial"/>
                      <w:color w:val="0000FF"/>
                      <w:sz w:val="22"/>
                      <w:szCs w:val="22"/>
                    </w:rPr>
                    <w:t>d</w:t>
                  </w:r>
                  <w:r>
                    <w:rPr>
                      <w:rFonts w:ascii="Arial" w:hAnsi="Arial" w:cs="Arial"/>
                      <w:color w:val="0000FF"/>
                      <w:sz w:val="22"/>
                      <w:szCs w:val="22"/>
                    </w:rPr>
                    <w:t xml:space="preserve"> </w:t>
                  </w:r>
                  <w:r w:rsidRPr="00E331FB">
                    <w:rPr>
                      <w:rFonts w:ascii="Arial" w:hAnsi="Arial" w:cs="Arial"/>
                      <w:color w:val="0000FF"/>
                      <w:sz w:val="22"/>
                      <w:szCs w:val="22"/>
                    </w:rPr>
                    <w:t>=</w:t>
                  </w:r>
                  <w:r>
                    <w:rPr>
                      <w:rFonts w:ascii="Arial" w:hAnsi="Arial" w:cs="Arial"/>
                      <w:color w:val="0000FF"/>
                      <w:sz w:val="22"/>
                      <w:szCs w:val="22"/>
                    </w:rPr>
                    <w:t xml:space="preserve"> </w:t>
                  </w:r>
                  <w:r w:rsidRPr="00E331FB">
                    <w:rPr>
                      <w:rFonts w:ascii="Arial" w:hAnsi="Arial" w:cs="Arial"/>
                      <w:color w:val="0000FF"/>
                      <w:sz w:val="22"/>
                      <w:szCs w:val="22"/>
                    </w:rPr>
                    <w:t>12</w:t>
                  </w:r>
                  <w:r>
                    <w:rPr>
                      <w:rFonts w:ascii="Arial" w:hAnsi="Arial" w:cs="Arial"/>
                      <w:color w:val="0000FF"/>
                      <w:sz w:val="22"/>
                      <w:szCs w:val="22"/>
                    </w:rPr>
                    <w:t> 000</w:t>
                  </w:r>
                </w:p>
              </w:tc>
            </w:tr>
          </w:tbl>
          <w:p w:rsidR="00EF4EC1" w:rsidRPr="00E331FB" w:rsidRDefault="00EF4EC1" w:rsidP="00EF4EC1">
            <w:pPr>
              <w:pStyle w:val="Slide2"/>
              <w:rPr>
                <w:color w:val="0000FF"/>
              </w:rPr>
            </w:pPr>
          </w:p>
        </w:tc>
      </w:tr>
    </w:tbl>
    <w:p w:rsidR="00EF4EC1" w:rsidRPr="007D7133" w:rsidRDefault="00EF4EC1" w:rsidP="00EF4EC1">
      <w:pPr>
        <w:pStyle w:val="Normaltext1"/>
      </w:pPr>
      <w:bookmarkStart w:id="186" w:name="_Ref476214047"/>
      <w:r w:rsidRPr="007D7133">
        <w:lastRenderedPageBreak/>
        <w:t>Having part of the calculation as a formula and part as text is likely to be confusing. If you choose to use a formula, as far as possible, put the whole calculation into the formula (see examples 34 and 35).</w:t>
      </w:r>
    </w:p>
    <w:p w:rsidR="00EF4EC1" w:rsidRPr="00616683" w:rsidRDefault="00EF4EC1" w:rsidP="00EF4EC1">
      <w:pPr>
        <w:pStyle w:val="Slidelabel"/>
      </w:pPr>
      <w:bookmarkStart w:id="187" w:name="_Ref477013584"/>
      <w:r w:rsidRPr="00616683">
        <w:t>Part only of calculation in formula</w:t>
      </w:r>
      <w:bookmarkEnd w:id="184"/>
      <w:r w:rsidRPr="00616683">
        <w:t xml:space="preserve"> </w:t>
      </w:r>
      <w:r>
        <w:t>–</w:t>
      </w:r>
      <w:r w:rsidRPr="00616683">
        <w:t xml:space="preserve"> simple</w:t>
      </w:r>
      <w:bookmarkEnd w:id="186"/>
      <w:bookmarkEnd w:id="187"/>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DF2FCF" w:rsidTr="00EF4EC1">
        <w:tc>
          <w:tcPr>
            <w:tcW w:w="8505" w:type="dxa"/>
            <w:shd w:val="clear" w:color="auto" w:fill="FFFFFF"/>
          </w:tcPr>
          <w:p w:rsidR="00EF4EC1" w:rsidRPr="00E331FB" w:rsidRDefault="00EF4EC1" w:rsidP="00EF4EC1">
            <w:pPr>
              <w:pStyle w:val="Slide1"/>
              <w:keepNext w:val="0"/>
              <w:rPr>
                <w:color w:val="0000FF"/>
              </w:rPr>
            </w:pPr>
            <w:r w:rsidRPr="00E331FB">
              <w:rPr>
                <w:color w:val="0000FF"/>
              </w:rPr>
              <w:t>58</w:t>
            </w:r>
            <w:r w:rsidRPr="00E331FB">
              <w:rPr>
                <w:color w:val="0000FF"/>
              </w:rPr>
              <w:tab/>
              <w:t>Children’s allowance</w:t>
            </w:r>
          </w:p>
          <w:p w:rsidR="00EF4EC1" w:rsidRPr="00172784" w:rsidRDefault="00EF4EC1" w:rsidP="00EF4EC1">
            <w:pPr>
              <w:pStyle w:val="Slide2"/>
              <w:rPr>
                <w:color w:val="0000FF"/>
              </w:rPr>
            </w:pPr>
            <w:r w:rsidRPr="00E331FB">
              <w:rPr>
                <w:color w:val="0000FF"/>
              </w:rPr>
              <w:tab/>
              <w:t xml:space="preserve">The rate per week at which an allowance is payable under this item </w:t>
            </w:r>
            <w:r w:rsidRPr="00172784">
              <w:rPr>
                <w:color w:val="0000FF"/>
              </w:rPr>
              <w:t xml:space="preserve">is </w:t>
            </w:r>
            <w:r w:rsidRPr="00172784">
              <w:rPr>
                <w:bCs/>
                <w:color w:val="0000FF"/>
              </w:rPr>
              <w:t>$4.00 plus</w:t>
            </w:r>
            <w:r w:rsidRPr="00172784">
              <w:rPr>
                <w:color w:val="0000FF"/>
              </w:rPr>
              <w:t xml:space="preserve"> the amount calculated in accordance with </w:t>
            </w:r>
            <w:r w:rsidRPr="00172784">
              <w:rPr>
                <w:bCs/>
                <w:color w:val="0000FF"/>
              </w:rPr>
              <w:t>the formula</w:t>
            </w:r>
          </w:p>
          <w:p w:rsidR="00EF4EC1" w:rsidRPr="00172784" w:rsidRDefault="00D22D1E" w:rsidP="00EF4EC1">
            <w:pPr>
              <w:pStyle w:val="SlideEquation"/>
              <w:rPr>
                <w:rFonts w:ascii="Cambria Math" w:hAnsi="Cambria Math"/>
                <w:color w:val="0000FF"/>
                <w:oMath/>
              </w:rPr>
            </w:pPr>
            <m:oMathPara>
              <m:oMathParaPr>
                <m:jc m:val="left"/>
              </m:oMathParaPr>
              <m:oMath>
                <m:f>
                  <m:fPr>
                    <m:ctrlPr>
                      <w:rPr>
                        <w:rFonts w:ascii="Cambria Math" w:hAnsi="Cambria Math"/>
                        <w:i/>
                        <w:color w:val="0000FF"/>
                      </w:rPr>
                    </m:ctrlPr>
                  </m:fPr>
                  <m:num>
                    <m:r>
                      <m:rPr>
                        <m:nor/>
                      </m:rPr>
                      <w:rPr>
                        <w:color w:val="0000FF"/>
                      </w:rPr>
                      <m:t>r</m:t>
                    </m:r>
                    <m:r>
                      <m:rPr>
                        <m:nor/>
                      </m:rPr>
                      <w:rPr>
                        <w:rFonts w:ascii="Cambria Math"/>
                        <w:color w:val="0000FF"/>
                      </w:rPr>
                      <m:t xml:space="preserve"> </m:t>
                    </m:r>
                  </m:num>
                  <m:den>
                    <m:r>
                      <m:rPr>
                        <m:nor/>
                      </m:rPr>
                      <w:rPr>
                        <w:color w:val="0000FF"/>
                      </w:rPr>
                      <m:t>n</m:t>
                    </m:r>
                    <m:r>
                      <m:rPr>
                        <m:nor/>
                      </m:rPr>
                      <w:rPr>
                        <w:rFonts w:ascii="Cambria Math"/>
                        <w:color w:val="0000FF"/>
                      </w:rPr>
                      <m:t xml:space="preserve"> </m:t>
                    </m:r>
                  </m:den>
                </m:f>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rate of reversionary pension that was payable …to the surviving widow or widower at the date of her or his death</w:t>
            </w:r>
          </w:p>
          <w:p w:rsidR="00EF4EC1" w:rsidRPr="00E331FB" w:rsidRDefault="00EF4EC1" w:rsidP="00EF4EC1">
            <w:pPr>
              <w:pStyle w:val="Slide3"/>
              <w:rPr>
                <w:color w:val="0000FF"/>
              </w:rPr>
            </w:pPr>
            <w:r w:rsidRPr="00E331FB">
              <w:rPr>
                <w:color w:val="0000FF"/>
              </w:rPr>
              <w:t>n</w:t>
            </w:r>
            <w:r w:rsidRPr="00E331FB">
              <w:rPr>
                <w:color w:val="0000FF"/>
              </w:rPr>
              <w:tab/>
              <w:t>=</w:t>
            </w:r>
            <w:r w:rsidRPr="00E331FB">
              <w:rPr>
                <w:color w:val="0000FF"/>
              </w:rPr>
              <w:tab/>
              <w:t>the greater</w:t>
            </w:r>
            <w:r>
              <w:rPr>
                <w:color w:val="0000FF"/>
              </w:rPr>
              <w:t xml:space="preserve"> of</w:t>
            </w:r>
            <w:r w:rsidRPr="00E331FB">
              <w:rPr>
                <w:color w:val="0000FF"/>
              </w:rPr>
              <w:t xml:space="preserve"> 4 </w:t>
            </w:r>
            <w:r>
              <w:rPr>
                <w:color w:val="0000FF"/>
              </w:rPr>
              <w:t xml:space="preserve"> and </w:t>
            </w:r>
            <w:r w:rsidRPr="00E331FB">
              <w:rPr>
                <w:color w:val="0000FF"/>
              </w:rPr>
              <w:t>the number of children of the judge to whom an allowance is payable under this item.</w:t>
            </w:r>
          </w:p>
        </w:tc>
      </w:tr>
      <w:tr w:rsidR="00EF4EC1" w:rsidRPr="00DF2FCF" w:rsidTr="00EF4EC1">
        <w:trPr>
          <w:cantSplit/>
        </w:trPr>
        <w:tc>
          <w:tcPr>
            <w:tcW w:w="8505" w:type="dxa"/>
            <w:shd w:val="clear" w:color="auto" w:fill="FFFFFF"/>
          </w:tcPr>
          <w:p w:rsidR="00EF4EC1" w:rsidRPr="00E331FB" w:rsidRDefault="00EF4EC1" w:rsidP="00EF4EC1">
            <w:pPr>
              <w:pStyle w:val="Slide2"/>
              <w:rPr>
                <w:i/>
                <w:color w:val="0000FF"/>
              </w:rPr>
            </w:pPr>
            <w:r w:rsidRPr="00E331FB">
              <w:rPr>
                <w:i/>
                <w:color w:val="0000FF"/>
              </w:rPr>
              <w:t>With whole calculation in the formula:</w:t>
            </w:r>
          </w:p>
          <w:p w:rsidR="00EF4EC1" w:rsidRPr="00E331FB" w:rsidRDefault="00EF4EC1" w:rsidP="00EF4EC1">
            <w:pPr>
              <w:pStyle w:val="Slide2"/>
              <w:rPr>
                <w:color w:val="0000FF"/>
              </w:rPr>
            </w:pPr>
            <w:r w:rsidRPr="00E331FB">
              <w:rPr>
                <w:color w:val="0000FF"/>
              </w:rPr>
              <w:tab/>
              <w:t>The rate per week at which an allowance is payable under this item is the amount calculated in accordance with the formula:</w:t>
            </w:r>
          </w:p>
          <w:p w:rsidR="00EF4EC1" w:rsidRPr="00E331FB" w:rsidRDefault="00EF4EC1" w:rsidP="00EF4EC1">
            <w:pPr>
              <w:pStyle w:val="SlideEquation"/>
              <w:spacing w:before="120"/>
              <w:rPr>
                <w:color w:val="0000FF"/>
                <w:oMath/>
              </w:rPr>
            </w:pPr>
            <m:oMathPara>
              <m:oMathParaPr>
                <m:jc m:val="left"/>
              </m:oMathParaPr>
              <m:oMath>
                <m:r>
                  <m:rPr>
                    <m:nor/>
                  </m:rPr>
                  <w:rPr>
                    <w:color w:val="0000FF"/>
                  </w:rPr>
                  <m:t>b</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4</m:t>
                </m:r>
                <m:r>
                  <m:rPr>
                    <m:nor/>
                  </m:rPr>
                  <w:rPr>
                    <w:rFonts w:ascii="Cambria Math"/>
                    <w:color w:val="0000FF"/>
                  </w:rPr>
                  <m:t xml:space="preserve"> </m:t>
                </m:r>
                <m:r>
                  <m:rPr>
                    <m:nor/>
                  </m:rPr>
                  <w:rPr>
                    <w:rFonts w:ascii="Cambria Math" w:hAnsi="Cambria Math"/>
                    <w:color w:val="0000FF"/>
                  </w:rPr>
                  <m:t xml:space="preserve">+ </m:t>
                </m:r>
                <m:f>
                  <m:fPr>
                    <m:ctrlPr>
                      <w:rPr>
                        <w:rFonts w:ascii="Cambria Math" w:hAnsi="Cambria Math"/>
                        <w:i/>
                        <w:color w:val="0000FF"/>
                      </w:rPr>
                    </m:ctrlPr>
                  </m:fPr>
                  <m:num>
                    <m:r>
                      <m:rPr>
                        <m:nor/>
                      </m:rPr>
                      <w:rPr>
                        <w:color w:val="0000FF"/>
                      </w:rPr>
                      <m:t>r</m:t>
                    </m:r>
                    <m:r>
                      <m:rPr>
                        <m:nor/>
                      </m:rPr>
                      <w:rPr>
                        <w:rFonts w:ascii="Cambria Math"/>
                        <w:color w:val="0000FF"/>
                      </w:rPr>
                      <m:t xml:space="preserve"> </m:t>
                    </m:r>
                  </m:num>
                  <m:den>
                    <m:r>
                      <m:rPr>
                        <m:nor/>
                      </m:rPr>
                      <w:rPr>
                        <w:color w:val="0000FF"/>
                      </w:rPr>
                      <m:t>n</m:t>
                    </m:r>
                    <m:r>
                      <m:rPr>
                        <m:nor/>
                      </m:rPr>
                      <w:rPr>
                        <w:rFonts w:ascii="Cambria Math"/>
                        <w:color w:val="0000FF"/>
                      </w:rPr>
                      <m:t xml:space="preserve"> </m:t>
                    </m:r>
                  </m:den>
                </m:f>
              </m:oMath>
            </m:oMathPara>
          </w:p>
          <w:p w:rsidR="00EF4EC1" w:rsidRPr="00E331FB" w:rsidRDefault="00EF4EC1" w:rsidP="00EF4EC1">
            <w:pPr>
              <w:pStyle w:val="Slide3"/>
              <w:rPr>
                <w:color w:val="0000FF"/>
              </w:rPr>
            </w:pPr>
            <w:r w:rsidRPr="00E331FB">
              <w:rPr>
                <w:color w:val="0000FF"/>
              </w:rPr>
              <w:t xml:space="preserve">where … </w:t>
            </w:r>
          </w:p>
        </w:tc>
      </w:tr>
    </w:tbl>
    <w:p w:rsidR="00D93B99" w:rsidRDefault="00D93B99" w:rsidP="00D93B99">
      <w:pPr>
        <w:pStyle w:val="Slidelabel"/>
        <w:numPr>
          <w:ilvl w:val="0"/>
          <w:numId w:val="0"/>
        </w:numPr>
        <w:ind w:left="567"/>
        <w:rPr>
          <w:rFonts w:cs="Times New Roman"/>
          <w:highlight w:val="lightGray"/>
          <w14:scene3d>
            <w14:camera w14:prst="orthographicFront"/>
            <w14:lightRig w14:rig="threePt" w14:dir="t">
              <w14:rot w14:lat="0" w14:lon="0" w14:rev="0"/>
            </w14:lightRig>
          </w14:scene3d>
        </w:rPr>
      </w:pPr>
      <w:bookmarkStart w:id="188" w:name="_Ref475709228"/>
      <w:bookmarkStart w:id="189" w:name="_Ref477013586"/>
    </w:p>
    <w:p w:rsidR="00D93B99" w:rsidRDefault="00D93B99" w:rsidP="00D93B99">
      <w:pPr>
        <w:rPr>
          <w:rFonts w:ascii="Arial" w:hAnsi="Arial"/>
          <w:sz w:val="22"/>
          <w:szCs w:val="20"/>
          <w:highlight w:val="lightGray"/>
          <w:lang w:val="en-AU"/>
          <w14:scene3d>
            <w14:camera w14:prst="orthographicFront"/>
            <w14:lightRig w14:rig="threePt" w14:dir="t">
              <w14:rot w14:lat="0" w14:lon="0" w14:rev="0"/>
            </w14:lightRig>
          </w14:scene3d>
        </w:rPr>
      </w:pPr>
      <w:r>
        <w:rPr>
          <w:highlight w:val="lightGray"/>
          <w14:scene3d>
            <w14:camera w14:prst="orthographicFront"/>
            <w14:lightRig w14:rig="threePt" w14:dir="t">
              <w14:rot w14:lat="0" w14:lon="0" w14:rev="0"/>
            </w14:lightRig>
          </w14:scene3d>
        </w:rPr>
        <w:br w:type="page"/>
      </w:r>
    </w:p>
    <w:p w:rsidR="00EF4EC1" w:rsidRPr="00616683" w:rsidRDefault="00EF4EC1" w:rsidP="00D93B99">
      <w:pPr>
        <w:pStyle w:val="Slidelabel"/>
      </w:pPr>
      <w:r w:rsidRPr="00616683">
        <w:lastRenderedPageBreak/>
        <w:t>Part only of calculation in formula</w:t>
      </w:r>
      <w:bookmarkEnd w:id="188"/>
      <w:r w:rsidRPr="00616683">
        <w:t xml:space="preserve"> </w:t>
      </w:r>
      <w:r>
        <w:t>–</w:t>
      </w:r>
      <w:r w:rsidRPr="00616683">
        <w:t xml:space="preserve"> complex</w:t>
      </w:r>
      <w:bookmarkEnd w:id="189"/>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DF2FCF" w:rsidTr="00EF4EC1">
        <w:tc>
          <w:tcPr>
            <w:tcW w:w="8505" w:type="dxa"/>
            <w:shd w:val="clear" w:color="auto" w:fill="FFFFFF"/>
          </w:tcPr>
          <w:p w:rsidR="00EF4EC1" w:rsidRPr="00E331FB" w:rsidRDefault="00EF4EC1" w:rsidP="00EF4EC1">
            <w:pPr>
              <w:pStyle w:val="Slide1"/>
              <w:keepNext w:val="0"/>
              <w:rPr>
                <w:color w:val="0000FF"/>
              </w:rPr>
            </w:pPr>
            <w:bookmarkStart w:id="190" w:name="_Toc57777412"/>
            <w:r w:rsidRPr="00E331FB">
              <w:rPr>
                <w:color w:val="0000FF"/>
              </w:rPr>
              <w:t>2</w:t>
            </w:r>
            <w:r w:rsidRPr="00E331FB">
              <w:rPr>
                <w:color w:val="0000FF"/>
              </w:rPr>
              <w:tab/>
              <w:t>Influencing factor</w:t>
            </w:r>
            <w:bookmarkEnd w:id="190"/>
          </w:p>
          <w:p w:rsidR="00EF4EC1" w:rsidRPr="00E331FB" w:rsidRDefault="00EF4EC1" w:rsidP="00EF4EC1">
            <w:pPr>
              <w:pStyle w:val="Slide2"/>
              <w:rPr>
                <w:color w:val="0000FF"/>
              </w:rPr>
            </w:pPr>
            <w:r w:rsidRPr="00E331FB">
              <w:rPr>
                <w:color w:val="0000FF"/>
              </w:rPr>
              <w:tab/>
              <w:t>The influencing factor for noise received on noise sensitive premises is to be determined as follows:</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using an appropriate land use map, 2 concentric circles, having radii representing 100 metres and 450 metres, and centred on the measurement point on the noise sensitive premises are to be drawn;</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subject to subclause (2) the land within the circles that is:</w:t>
            </w:r>
          </w:p>
          <w:p w:rsidR="00EF4EC1" w:rsidRPr="00E331FB" w:rsidRDefault="00EF4EC1" w:rsidP="00EF4EC1">
            <w:pPr>
              <w:pStyle w:val="Slide4"/>
              <w:rPr>
                <w:color w:val="0000FF"/>
              </w:rPr>
            </w:pPr>
            <w:r w:rsidRPr="00E331FB">
              <w:rPr>
                <w:color w:val="0000FF"/>
              </w:rPr>
              <w:t>(i)</w:t>
            </w:r>
            <w:r w:rsidRPr="00E331FB">
              <w:rPr>
                <w:color w:val="0000FF"/>
              </w:rPr>
              <w:tab/>
              <w:t>Type A – industrial and utility premises; or</w:t>
            </w:r>
          </w:p>
          <w:p w:rsidR="00EF4EC1" w:rsidRPr="00D93D5C" w:rsidRDefault="00EF4EC1" w:rsidP="00EF4EC1">
            <w:pPr>
              <w:pStyle w:val="Slide4"/>
              <w:rPr>
                <w:color w:val="0000FF"/>
                <w:lang w:val="fr-CA"/>
              </w:rPr>
            </w:pPr>
            <w:r w:rsidRPr="00D93D5C">
              <w:rPr>
                <w:color w:val="0000FF"/>
                <w:lang w:val="fr-CA"/>
              </w:rPr>
              <w:t>(ii)</w:t>
            </w:r>
            <w:r w:rsidRPr="00D93D5C">
              <w:rPr>
                <w:color w:val="0000FF"/>
                <w:lang w:val="fr-CA"/>
              </w:rPr>
              <w:tab/>
              <w:t>Type B – commercial premises,</w:t>
            </w:r>
          </w:p>
          <w:p w:rsidR="00EF4EC1" w:rsidRPr="00E331FB" w:rsidRDefault="00EF4EC1" w:rsidP="00EF4EC1">
            <w:pPr>
              <w:pStyle w:val="Slide3"/>
              <w:tabs>
                <w:tab w:val="clear" w:pos="1021"/>
              </w:tabs>
              <w:rPr>
                <w:color w:val="0000FF"/>
              </w:rPr>
            </w:pPr>
            <w:r w:rsidRPr="00D93D5C">
              <w:rPr>
                <w:color w:val="0000FF"/>
                <w:lang w:val="fr-CA"/>
              </w:rPr>
              <w:tab/>
            </w:r>
            <w:r w:rsidRPr="00E331FB">
              <w:rPr>
                <w:color w:val="0000FF"/>
              </w:rPr>
              <w:t>is to be identified as such by reference to one or more appropriate land use maps; and</w:t>
            </w:r>
          </w:p>
          <w:p w:rsidR="00EF4EC1" w:rsidRPr="00E331FB" w:rsidRDefault="00EF4EC1" w:rsidP="00EF4EC1">
            <w:pPr>
              <w:pStyle w:val="Slide3"/>
              <w:tabs>
                <w:tab w:val="clear" w:pos="1021"/>
              </w:tabs>
              <w:rPr>
                <w:color w:val="0000FF"/>
              </w:rPr>
            </w:pPr>
            <w:r w:rsidRPr="00E331FB">
              <w:rPr>
                <w:color w:val="0000FF"/>
              </w:rPr>
              <w:t>(c)</w:t>
            </w:r>
            <w:r w:rsidRPr="00E331FB">
              <w:rPr>
                <w:color w:val="0000FF"/>
              </w:rPr>
              <w:tab/>
              <w:t>the area of each type of premises is to be calculated as a percentage of the full area of each circle and used to determine the Influencing Factor to the nearest dB in accordance with the following formula:</w:t>
            </w:r>
          </w:p>
          <w:p w:rsidR="00EF4EC1" w:rsidRDefault="00EF4EC1" w:rsidP="00EF4EC1">
            <w:pPr>
              <w:pStyle w:val="yIndenta"/>
              <w:tabs>
                <w:tab w:val="clear" w:pos="1332"/>
                <w:tab w:val="clear" w:pos="1616"/>
                <w:tab w:val="left" w:pos="3969"/>
              </w:tabs>
              <w:spacing w:before="120"/>
              <w:ind w:left="3969" w:hanging="2835"/>
              <w:rPr>
                <w:rFonts w:ascii="Arial" w:hAnsi="Arial" w:cs="Arial"/>
                <w:snapToGrid w:val="0"/>
                <w:color w:val="0000FF"/>
              </w:rPr>
            </w:pPr>
            <w:r w:rsidRPr="00E331FB">
              <w:rPr>
                <w:rFonts w:ascii="Arial" w:hAnsi="Arial" w:cs="Arial"/>
                <w:snapToGrid w:val="0"/>
                <w:color w:val="0000FF"/>
              </w:rPr>
              <w:t>Influencing Factor in dB  =</w:t>
            </w:r>
          </w:p>
          <w:p w:rsidR="00EF4EC1" w:rsidRPr="00E331FB" w:rsidRDefault="00EF4EC1" w:rsidP="00EF4EC1">
            <w:pPr>
              <w:pStyle w:val="yIndenta"/>
              <w:tabs>
                <w:tab w:val="clear" w:pos="1332"/>
                <w:tab w:val="clear" w:pos="1616"/>
              </w:tabs>
              <w:spacing w:before="120"/>
              <w:ind w:left="1701" w:firstLine="0"/>
              <w:rPr>
                <w:rFonts w:ascii="Arial" w:hAnsi="Arial" w:cs="Arial"/>
                <w:snapToGrid w:val="0"/>
                <w:color w:val="0000FF"/>
              </w:rPr>
            </w:pPr>
            <w:r>
              <w:rPr>
                <w:rFonts w:ascii="Arial" w:hAnsi="Arial" w:cs="Arial"/>
                <w:snapToGrid w:val="0"/>
                <w:color w:val="0000FF"/>
              </w:rPr>
              <w:t xml:space="preserve">    </w:t>
            </w:r>
            <w:r w:rsidRPr="00E331FB">
              <w:rPr>
                <w:rFonts w:ascii="Arial" w:hAnsi="Arial" w:cs="Arial"/>
                <w:snapToGrid w:val="0"/>
                <w:color w:val="0000FF"/>
              </w:rPr>
              <w:t>1/10 (sum of Type A</w:t>
            </w:r>
            <w:r>
              <w:rPr>
                <w:rFonts w:ascii="Arial" w:hAnsi="Arial" w:cs="Arial"/>
                <w:snapToGrid w:val="0"/>
                <w:color w:val="0000FF"/>
              </w:rPr>
              <w:t xml:space="preserve"> percentages for both circles)</w:t>
            </w:r>
          </w:p>
          <w:p w:rsidR="00EF4EC1" w:rsidRPr="00E331FB" w:rsidRDefault="00EF4EC1" w:rsidP="00EF4EC1">
            <w:pPr>
              <w:pStyle w:val="yIndenta"/>
              <w:tabs>
                <w:tab w:val="clear" w:pos="1332"/>
                <w:tab w:val="clear" w:pos="1616"/>
              </w:tabs>
              <w:ind w:left="1701" w:firstLine="0"/>
              <w:rPr>
                <w:rFonts w:ascii="Arial" w:hAnsi="Arial" w:cs="Arial"/>
                <w:snapToGrid w:val="0"/>
                <w:color w:val="0000FF"/>
              </w:rPr>
            </w:pPr>
            <w:r>
              <w:rPr>
                <w:rFonts w:ascii="Arial" w:hAnsi="Arial" w:cs="Arial"/>
                <w:snapToGrid w:val="0"/>
                <w:color w:val="0000FF"/>
              </w:rPr>
              <w:t xml:space="preserve">+  </w:t>
            </w:r>
            <w:r w:rsidRPr="00E331FB">
              <w:rPr>
                <w:rFonts w:ascii="Arial" w:hAnsi="Arial" w:cs="Arial"/>
                <w:snapToGrid w:val="0"/>
                <w:color w:val="0000FF"/>
              </w:rPr>
              <w:t>1/20 (sum of Type B</w:t>
            </w:r>
            <w:r>
              <w:rPr>
                <w:rFonts w:ascii="Arial" w:hAnsi="Arial" w:cs="Arial"/>
                <w:snapToGrid w:val="0"/>
                <w:color w:val="0000FF"/>
              </w:rPr>
              <w:t xml:space="preserve"> percentages for both circles) </w:t>
            </w:r>
          </w:p>
          <w:p w:rsidR="00EF4EC1" w:rsidRPr="00E331FB" w:rsidRDefault="00EF4EC1" w:rsidP="00EF4EC1">
            <w:pPr>
              <w:pStyle w:val="yIndenta"/>
              <w:tabs>
                <w:tab w:val="clear" w:pos="1332"/>
                <w:tab w:val="clear" w:pos="1616"/>
              </w:tabs>
              <w:ind w:left="1701" w:firstLine="0"/>
              <w:rPr>
                <w:rFonts w:ascii="Arial" w:hAnsi="Arial" w:cs="Arial"/>
                <w:snapToGrid w:val="0"/>
                <w:color w:val="0000FF"/>
              </w:rPr>
            </w:pPr>
            <w:r>
              <w:rPr>
                <w:rFonts w:ascii="Arial" w:hAnsi="Arial" w:cs="Arial"/>
                <w:snapToGrid w:val="0"/>
                <w:color w:val="0000FF"/>
              </w:rPr>
              <w:t xml:space="preserve">+  the lesser of the </w:t>
            </w:r>
            <w:r w:rsidRPr="00E331FB">
              <w:rPr>
                <w:rFonts w:ascii="Arial" w:hAnsi="Arial" w:cs="Arial"/>
                <w:snapToGrid w:val="0"/>
                <w:color w:val="0000FF"/>
              </w:rPr>
              <w:t xml:space="preserve">transport factor </w:t>
            </w:r>
            <w:r>
              <w:rPr>
                <w:rFonts w:ascii="Arial" w:hAnsi="Arial" w:cs="Arial"/>
                <w:snapToGrid w:val="0"/>
                <w:color w:val="0000FF"/>
              </w:rPr>
              <w:t xml:space="preserve">and </w:t>
            </w:r>
            <w:r w:rsidRPr="00E331FB">
              <w:rPr>
                <w:rFonts w:ascii="Arial" w:hAnsi="Arial" w:cs="Arial"/>
                <w:snapToGrid w:val="0"/>
                <w:color w:val="0000FF"/>
              </w:rPr>
              <w:t>6</w:t>
            </w:r>
            <w:r>
              <w:rPr>
                <w:rFonts w:ascii="Arial" w:hAnsi="Arial" w:cs="Arial"/>
                <w:snapToGrid w:val="0"/>
                <w:color w:val="0000FF"/>
              </w:rPr>
              <w:t>.</w:t>
            </w:r>
          </w:p>
        </w:tc>
      </w:tr>
      <w:tr w:rsidR="00EF4EC1" w:rsidRPr="00DF2FCF" w:rsidTr="00EF4EC1">
        <w:trPr>
          <w:cantSplit/>
        </w:trPr>
        <w:tc>
          <w:tcPr>
            <w:tcW w:w="8505" w:type="dxa"/>
            <w:shd w:val="clear" w:color="auto" w:fill="FFFFFF"/>
          </w:tcPr>
          <w:p w:rsidR="00EF4EC1" w:rsidRPr="00E331FB" w:rsidRDefault="00EF4EC1" w:rsidP="00EF4EC1">
            <w:pPr>
              <w:pStyle w:val="Slide2"/>
              <w:rPr>
                <w:i/>
                <w:color w:val="0000FF"/>
              </w:rPr>
            </w:pPr>
            <w:r w:rsidRPr="00E331FB">
              <w:rPr>
                <w:i/>
                <w:color w:val="0000FF"/>
              </w:rPr>
              <w:lastRenderedPageBreak/>
              <w:t>As a single formula:</w:t>
            </w:r>
          </w:p>
          <w:p w:rsidR="00EF4EC1" w:rsidRPr="00E331FB" w:rsidRDefault="00EF4EC1" w:rsidP="00EF4EC1">
            <w:pPr>
              <w:pStyle w:val="Slide1"/>
              <w:keepNext w:val="0"/>
              <w:rPr>
                <w:color w:val="0000FF"/>
              </w:rPr>
            </w:pPr>
            <w:r w:rsidRPr="00E331FB">
              <w:rPr>
                <w:color w:val="0000FF"/>
              </w:rPr>
              <w:t>2</w:t>
            </w:r>
            <w:r w:rsidRPr="00E331FB">
              <w:rPr>
                <w:color w:val="0000FF"/>
              </w:rPr>
              <w:tab/>
              <w:t>Influencing factor</w:t>
            </w:r>
          </w:p>
          <w:p w:rsidR="00EF4EC1" w:rsidRPr="00E331FB" w:rsidRDefault="00EF4EC1" w:rsidP="00EF4EC1">
            <w:pPr>
              <w:pStyle w:val="Slide2"/>
              <w:rPr>
                <w:color w:val="0000FF"/>
              </w:rPr>
            </w:pPr>
            <w:r w:rsidRPr="00E331FB">
              <w:rPr>
                <w:color w:val="0000FF"/>
              </w:rPr>
              <w:t>(1)</w:t>
            </w:r>
            <w:r w:rsidRPr="00E331FB">
              <w:rPr>
                <w:color w:val="0000FF"/>
              </w:rPr>
              <w:tab/>
              <w:t>The influencing factor for noise received on noise sensitive premises is to be determined in accordance with the following formula:</w:t>
            </w:r>
          </w:p>
          <w:p w:rsidR="00EF4EC1" w:rsidRPr="00B23994" w:rsidRDefault="00EF4EC1" w:rsidP="00EF4EC1">
            <w:pPr>
              <w:pStyle w:val="SlideEquation"/>
              <w:rPr>
                <w:color w:val="0000FF"/>
                <w:lang w:val="fr-CA"/>
                <w:oMath/>
              </w:rPr>
            </w:pPr>
            <m:oMathPara>
              <m:oMathParaPr>
                <m:jc m:val="left"/>
              </m:oMathParaPr>
              <m:oMath>
                <m:r>
                  <m:rPr>
                    <m:nor/>
                  </m:rPr>
                  <w:rPr>
                    <w:color w:val="0000FF"/>
                    <w:lang w:val="fr-CA"/>
                  </w:rPr>
                  <m:t>f</m:t>
                </m:r>
                <m:r>
                  <m:rPr>
                    <m:nor/>
                  </m:rPr>
                  <w:rPr>
                    <w:rFonts w:ascii="Cambria Math"/>
                    <w:color w:val="0000FF"/>
                    <w:lang w:val="fr-CA"/>
                  </w:rPr>
                  <m:t xml:space="preserve"> </m:t>
                </m:r>
                <m:r>
                  <m:rPr>
                    <m:nor/>
                  </m:rPr>
                  <w:rPr>
                    <w:color w:val="0000FF"/>
                    <w:lang w:val="fr-CA"/>
                  </w:rPr>
                  <m:t>=</m:t>
                </m:r>
                <m:r>
                  <m:rPr>
                    <m:nor/>
                  </m:rPr>
                  <w:rPr>
                    <w:rFonts w:ascii="Cambria Math"/>
                    <w:color w:val="0000FF"/>
                    <w:lang w:val="fr-CA"/>
                  </w:rPr>
                  <m:t xml:space="preserve"> </m:t>
                </m:r>
                <m:d>
                  <m:dPr>
                    <m:begChr m:val="["/>
                    <m:endChr m:val="]"/>
                    <m:ctrlPr>
                      <w:rPr>
                        <w:rFonts w:ascii="Cambria Math" w:hAnsi="Cambria Math"/>
                        <w:i/>
                        <w:color w:val="0000FF"/>
                      </w:rPr>
                    </m:ctrlPr>
                  </m:dPr>
                  <m:e>
                    <m:r>
                      <m:rPr>
                        <m:nor/>
                      </m:rPr>
                      <w:rPr>
                        <w:color w:val="0000FF"/>
                        <w:lang w:val="fr-CA"/>
                      </w:rPr>
                      <m:t>0.1</m:t>
                    </m:r>
                    <m:r>
                      <m:rPr>
                        <m:nor/>
                      </m:rPr>
                      <w:rPr>
                        <w:rFonts w:ascii="Cambria Math"/>
                        <w:color w:val="0000FF"/>
                        <w:lang w:val="fr-CA"/>
                      </w:rPr>
                      <m:t xml:space="preserve"> </m:t>
                    </m:r>
                    <m:r>
                      <m:rPr>
                        <m:nor/>
                      </m:rPr>
                      <w:rPr>
                        <w:rFonts w:ascii="Cambria Math" w:hAnsi="Cambria Math"/>
                        <w:color w:val="0000FF"/>
                        <w:lang w:val="fr-CA"/>
                      </w:rPr>
                      <m:t xml:space="preserve">× </m:t>
                    </m:r>
                    <m:d>
                      <m:dPr>
                        <m:ctrlPr>
                          <w:rPr>
                            <w:rFonts w:ascii="Cambria Math" w:hAnsi="Cambria Math"/>
                            <w:i/>
                            <w:color w:val="0000FF"/>
                          </w:rPr>
                        </m:ctrlPr>
                      </m:dPr>
                      <m:e>
                        <m:f>
                          <m:fPr>
                            <m:ctrlPr>
                              <w:rPr>
                                <w:rFonts w:ascii="Cambria Math" w:hAnsi="Cambria Math"/>
                                <w:i/>
                                <w:color w:val="0000FF"/>
                              </w:rPr>
                            </m:ctrlPr>
                          </m:fPr>
                          <m:num>
                            <m:sSub>
                              <m:sSubPr>
                                <m:ctrlPr>
                                  <w:rPr>
                                    <w:rFonts w:ascii="Cambria Math" w:hAnsi="Cambria Math"/>
                                    <w:i/>
                                    <w:color w:val="0000FF"/>
                                  </w:rPr>
                                </m:ctrlPr>
                              </m:sSubPr>
                              <m:e>
                                <m:r>
                                  <m:rPr>
                                    <m:nor/>
                                  </m:rPr>
                                  <w:rPr>
                                    <w:color w:val="0000FF"/>
                                    <w:lang w:val="fr-CA"/>
                                  </w:rPr>
                                  <m:t>a</m:t>
                                </m:r>
                              </m:e>
                              <m:sub>
                                <m:r>
                                  <m:rPr>
                                    <m:nor/>
                                  </m:rPr>
                                  <w:rPr>
                                    <w:color w:val="0000FF"/>
                                    <w:lang w:val="fr-CA"/>
                                  </w:rPr>
                                  <m:t>1</m:t>
                                </m:r>
                              </m:sub>
                            </m:sSub>
                          </m:num>
                          <m:den>
                            <m:r>
                              <m:rPr>
                                <m:nor/>
                              </m:rPr>
                              <w:rPr>
                                <w:color w:val="0000FF"/>
                                <w:lang w:val="fr-CA"/>
                              </w:rPr>
                              <m:t>100</m:t>
                            </m:r>
                            <m:r>
                              <m:rPr>
                                <m:nor/>
                              </m:rPr>
                              <w:rPr>
                                <w:rFonts w:ascii="Times New Roman" w:hAnsi="Times New Roman" w:cs="Times New Roman"/>
                                <w:color w:val="0000FF"/>
                                <w:sz w:val="28"/>
                                <w:szCs w:val="28"/>
                              </w:rPr>
                              <m:t>π</m:t>
                            </m:r>
                          </m:den>
                        </m:f>
                        <m:r>
                          <m:rPr>
                            <m:nor/>
                          </m:rPr>
                          <w:rPr>
                            <w:rFonts w:ascii="Cambria Math"/>
                            <w:color w:val="0000FF"/>
                            <w:lang w:val="fr-CA"/>
                          </w:rPr>
                          <m:t xml:space="preserve"> </m:t>
                        </m:r>
                        <m:r>
                          <m:rPr>
                            <m:nor/>
                          </m:rPr>
                          <w:rPr>
                            <w:rFonts w:ascii="Cambria Math" w:hAnsi="Cambria Math"/>
                            <w:color w:val="0000FF"/>
                            <w:lang w:val="fr-CA"/>
                          </w:rPr>
                          <m:t xml:space="preserve">+ </m:t>
                        </m:r>
                        <m:f>
                          <m:fPr>
                            <m:ctrlPr>
                              <w:rPr>
                                <w:rFonts w:ascii="Cambria Math" w:hAnsi="Cambria Math"/>
                                <w:i/>
                                <w:color w:val="0000FF"/>
                              </w:rPr>
                            </m:ctrlPr>
                          </m:fPr>
                          <m:num>
                            <m:sSub>
                              <m:sSubPr>
                                <m:ctrlPr>
                                  <w:rPr>
                                    <w:rFonts w:ascii="Cambria Math" w:hAnsi="Cambria Math"/>
                                    <w:i/>
                                    <w:color w:val="0000FF"/>
                                  </w:rPr>
                                </m:ctrlPr>
                              </m:sSubPr>
                              <m:e>
                                <m:r>
                                  <m:rPr>
                                    <m:nor/>
                                  </m:rPr>
                                  <w:rPr>
                                    <w:color w:val="0000FF"/>
                                    <w:lang w:val="fr-CA"/>
                                  </w:rPr>
                                  <m:t>a</m:t>
                                </m:r>
                              </m:e>
                              <m:sub>
                                <m:r>
                                  <m:rPr>
                                    <m:nor/>
                                  </m:rPr>
                                  <w:rPr>
                                    <w:color w:val="0000FF"/>
                                    <w:lang w:val="fr-CA"/>
                                  </w:rPr>
                                  <m:t>2</m:t>
                                </m:r>
                              </m:sub>
                            </m:sSub>
                          </m:num>
                          <m:den>
                            <m:r>
                              <m:rPr>
                                <m:nor/>
                              </m:rPr>
                              <w:rPr>
                                <w:color w:val="0000FF"/>
                                <w:lang w:val="fr-CA"/>
                              </w:rPr>
                              <m:t>2025</m:t>
                            </m:r>
                            <m:r>
                              <m:rPr>
                                <m:nor/>
                              </m:rPr>
                              <w:rPr>
                                <w:rFonts w:ascii="Times New Roman" w:hAnsi="Times New Roman" w:cs="Times New Roman"/>
                                <w:color w:val="0000FF"/>
                                <w:sz w:val="28"/>
                                <w:szCs w:val="28"/>
                              </w:rPr>
                              <m:t>π</m:t>
                            </m:r>
                          </m:den>
                        </m:f>
                      </m:e>
                    </m:d>
                    <m:r>
                      <w:rPr>
                        <w:rFonts w:ascii="Cambria Math" w:hAnsi="Cambria Math"/>
                        <w:color w:val="0000FF"/>
                        <w:lang w:val="fr-CA"/>
                      </w:rPr>
                      <m:t xml:space="preserve"> </m:t>
                    </m:r>
                  </m:e>
                </m:d>
                <m:r>
                  <m:rPr>
                    <m:nor/>
                  </m:rPr>
                  <w:rPr>
                    <w:rFonts w:ascii="Cambria Math"/>
                    <w:color w:val="0000FF"/>
                    <w:lang w:val="fr-CA"/>
                  </w:rPr>
                  <m:t xml:space="preserve"> </m:t>
                </m:r>
                <m:r>
                  <m:rPr>
                    <m:nor/>
                  </m:rPr>
                  <w:rPr>
                    <w:rFonts w:ascii="Cambria Math" w:hAnsi="Cambria Math"/>
                    <w:color w:val="0000FF"/>
                    <w:lang w:val="fr-CA"/>
                  </w:rPr>
                  <m:t xml:space="preserve">+ </m:t>
                </m:r>
                <m:d>
                  <m:dPr>
                    <m:begChr m:val="["/>
                    <m:endChr m:val="]"/>
                    <m:ctrlPr>
                      <w:rPr>
                        <w:rFonts w:ascii="Cambria Math" w:hAnsi="Cambria Math"/>
                        <w:i/>
                        <w:color w:val="0000FF"/>
                      </w:rPr>
                    </m:ctrlPr>
                  </m:dPr>
                  <m:e>
                    <m:r>
                      <m:rPr>
                        <m:nor/>
                      </m:rPr>
                      <w:rPr>
                        <w:color w:val="0000FF"/>
                        <w:lang w:val="fr-CA"/>
                      </w:rPr>
                      <m:t>0.05</m:t>
                    </m:r>
                    <m:r>
                      <m:rPr>
                        <m:nor/>
                      </m:rPr>
                      <w:rPr>
                        <w:rFonts w:ascii="Cambria Math"/>
                        <w:color w:val="0000FF"/>
                        <w:lang w:val="fr-CA"/>
                      </w:rPr>
                      <m:t xml:space="preserve"> </m:t>
                    </m:r>
                    <m:r>
                      <m:rPr>
                        <m:nor/>
                      </m:rPr>
                      <w:rPr>
                        <w:rFonts w:ascii="Cambria Math" w:hAnsi="Cambria Math"/>
                        <w:color w:val="0000FF"/>
                        <w:lang w:val="fr-CA"/>
                      </w:rPr>
                      <m:t xml:space="preserve">× </m:t>
                    </m:r>
                    <m:d>
                      <m:dPr>
                        <m:ctrlPr>
                          <w:rPr>
                            <w:rFonts w:ascii="Cambria Math" w:hAnsi="Cambria Math"/>
                            <w:i/>
                            <w:color w:val="0000FF"/>
                          </w:rPr>
                        </m:ctrlPr>
                      </m:dPr>
                      <m:e>
                        <m:f>
                          <m:fPr>
                            <m:ctrlPr>
                              <w:rPr>
                                <w:rFonts w:ascii="Cambria Math" w:hAnsi="Cambria Math"/>
                                <w:i/>
                                <w:color w:val="0000FF"/>
                              </w:rPr>
                            </m:ctrlPr>
                          </m:fPr>
                          <m:num>
                            <m:sSub>
                              <m:sSubPr>
                                <m:ctrlPr>
                                  <w:rPr>
                                    <w:rFonts w:ascii="Cambria Math" w:hAnsi="Cambria Math"/>
                                    <w:i/>
                                    <w:color w:val="0000FF"/>
                                  </w:rPr>
                                </m:ctrlPr>
                              </m:sSubPr>
                              <m:e>
                                <m:r>
                                  <m:rPr>
                                    <m:nor/>
                                  </m:rPr>
                                  <w:rPr>
                                    <w:color w:val="0000FF"/>
                                    <w:lang w:val="fr-CA"/>
                                  </w:rPr>
                                  <m:t>b</m:t>
                                </m:r>
                              </m:e>
                              <m:sub>
                                <m:r>
                                  <m:rPr>
                                    <m:nor/>
                                  </m:rPr>
                                  <w:rPr>
                                    <w:color w:val="0000FF"/>
                                    <w:lang w:val="fr-CA"/>
                                  </w:rPr>
                                  <m:t>1</m:t>
                                </m:r>
                              </m:sub>
                            </m:sSub>
                          </m:num>
                          <m:den>
                            <m:r>
                              <m:rPr>
                                <m:nor/>
                              </m:rPr>
                              <w:rPr>
                                <w:color w:val="0000FF"/>
                                <w:lang w:val="fr-CA"/>
                              </w:rPr>
                              <m:t>100</m:t>
                            </m:r>
                            <m:r>
                              <m:rPr>
                                <m:nor/>
                              </m:rPr>
                              <w:rPr>
                                <w:rFonts w:ascii="Times New Roman" w:hAnsi="Times New Roman" w:cs="Times New Roman"/>
                                <w:color w:val="0000FF"/>
                                <w:sz w:val="28"/>
                                <w:szCs w:val="28"/>
                              </w:rPr>
                              <m:t>π</m:t>
                            </m:r>
                          </m:den>
                        </m:f>
                        <m:r>
                          <m:rPr>
                            <m:nor/>
                          </m:rPr>
                          <w:rPr>
                            <w:rFonts w:ascii="Cambria Math"/>
                            <w:color w:val="0000FF"/>
                            <w:lang w:val="fr-CA"/>
                          </w:rPr>
                          <m:t xml:space="preserve"> </m:t>
                        </m:r>
                        <m:r>
                          <m:rPr>
                            <m:nor/>
                          </m:rPr>
                          <w:rPr>
                            <w:rFonts w:ascii="Cambria Math" w:hAnsi="Cambria Math"/>
                            <w:color w:val="0000FF"/>
                            <w:lang w:val="fr-CA"/>
                          </w:rPr>
                          <m:t xml:space="preserve">+ </m:t>
                        </m:r>
                        <m:f>
                          <m:fPr>
                            <m:ctrlPr>
                              <w:rPr>
                                <w:rFonts w:ascii="Cambria Math" w:hAnsi="Cambria Math"/>
                                <w:i/>
                                <w:color w:val="0000FF"/>
                              </w:rPr>
                            </m:ctrlPr>
                          </m:fPr>
                          <m:num>
                            <m:sSub>
                              <m:sSubPr>
                                <m:ctrlPr>
                                  <w:rPr>
                                    <w:rFonts w:ascii="Cambria Math" w:hAnsi="Cambria Math"/>
                                    <w:i/>
                                    <w:color w:val="0000FF"/>
                                  </w:rPr>
                                </m:ctrlPr>
                              </m:sSubPr>
                              <m:e>
                                <m:r>
                                  <m:rPr>
                                    <m:nor/>
                                  </m:rPr>
                                  <w:rPr>
                                    <w:color w:val="0000FF"/>
                                    <w:lang w:val="fr-CA"/>
                                  </w:rPr>
                                  <m:t>b</m:t>
                                </m:r>
                              </m:e>
                              <m:sub>
                                <m:r>
                                  <m:rPr>
                                    <m:nor/>
                                  </m:rPr>
                                  <w:rPr>
                                    <w:color w:val="0000FF"/>
                                    <w:lang w:val="fr-CA"/>
                                  </w:rPr>
                                  <m:t>2</m:t>
                                </m:r>
                              </m:sub>
                            </m:sSub>
                          </m:num>
                          <m:den>
                            <m:r>
                              <m:rPr>
                                <m:nor/>
                              </m:rPr>
                              <w:rPr>
                                <w:color w:val="0000FF"/>
                                <w:lang w:val="fr-CA"/>
                              </w:rPr>
                              <m:t>2025</m:t>
                            </m:r>
                            <m:r>
                              <m:rPr>
                                <m:nor/>
                              </m:rPr>
                              <w:rPr>
                                <w:rFonts w:ascii="Times New Roman" w:hAnsi="Times New Roman" w:cs="Times New Roman"/>
                                <w:color w:val="0000FF"/>
                                <w:sz w:val="28"/>
                                <w:szCs w:val="28"/>
                              </w:rPr>
                              <m:t>π</m:t>
                            </m:r>
                          </m:den>
                        </m:f>
                      </m:e>
                    </m:d>
                    <m:r>
                      <w:rPr>
                        <w:rFonts w:ascii="Cambria Math" w:hAnsi="Cambria Math"/>
                        <w:color w:val="0000FF"/>
                        <w:lang w:val="fr-CA"/>
                      </w:rPr>
                      <m:t xml:space="preserve"> </m:t>
                    </m:r>
                  </m:e>
                </m:d>
                <m:r>
                  <m:rPr>
                    <m:nor/>
                  </m:rPr>
                  <w:rPr>
                    <w:rFonts w:ascii="Cambria Math"/>
                    <w:color w:val="0000FF"/>
                    <w:lang w:val="fr-CA"/>
                  </w:rPr>
                  <m:t xml:space="preserve"> </m:t>
                </m:r>
                <m:r>
                  <m:rPr>
                    <m:nor/>
                  </m:rPr>
                  <w:rPr>
                    <w:rFonts w:ascii="Cambria Math" w:hAnsi="Cambria Math"/>
                    <w:color w:val="0000FF"/>
                    <w:lang w:val="fr-CA"/>
                  </w:rPr>
                  <m:t xml:space="preserve">+ </m:t>
                </m:r>
                <m:r>
                  <m:rPr>
                    <m:nor/>
                  </m:rPr>
                  <w:rPr>
                    <w:color w:val="0000FF"/>
                    <w:lang w:val="fr-CA"/>
                  </w:rPr>
                  <m:t>t</m:t>
                </m:r>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f</w:t>
            </w:r>
            <w:r w:rsidRPr="00E331FB">
              <w:rPr>
                <w:color w:val="0000FF"/>
              </w:rPr>
              <w:tab/>
              <w:t>=</w:t>
            </w:r>
            <w:r w:rsidRPr="00E331FB">
              <w:rPr>
                <w:color w:val="0000FF"/>
              </w:rPr>
              <w:tab/>
              <w:t>influencing factor (in dB)</w:t>
            </w:r>
          </w:p>
          <w:p w:rsidR="00EF4EC1" w:rsidRPr="00E331FB" w:rsidRDefault="00EF4EC1" w:rsidP="00EF4EC1">
            <w:pPr>
              <w:pStyle w:val="Slide3"/>
              <w:rPr>
                <w:color w:val="0000FF"/>
              </w:rPr>
            </w:pPr>
            <w:r w:rsidRPr="00E331FB">
              <w:rPr>
                <w:color w:val="0000FF"/>
              </w:rPr>
              <w:t>a</w:t>
            </w:r>
            <w:r w:rsidRPr="00E331FB">
              <w:rPr>
                <w:color w:val="0000FF"/>
                <w:vertAlign w:val="subscript"/>
              </w:rPr>
              <w:t>1</w:t>
            </w:r>
            <w:r w:rsidRPr="00E331FB">
              <w:rPr>
                <w:color w:val="0000FF"/>
              </w:rPr>
              <w:tab/>
              <w:t>=</w:t>
            </w:r>
            <w:r w:rsidRPr="00E331FB">
              <w:rPr>
                <w:color w:val="0000FF"/>
              </w:rPr>
              <w:tab/>
              <w:t xml:space="preserve">area of </w:t>
            </w:r>
            <w:r w:rsidRPr="00E331FB">
              <w:rPr>
                <w:bCs/>
                <w:color w:val="0000FF"/>
              </w:rPr>
              <w:t>industrial and utility premises</w:t>
            </w:r>
            <w:r w:rsidRPr="00E331FB">
              <w:rPr>
                <w:color w:val="0000FF"/>
              </w:rPr>
              <w:t xml:space="preserve"> in circle 1 (in m</w:t>
            </w:r>
            <w:r w:rsidRPr="00E331FB">
              <w:rPr>
                <w:color w:val="0000FF"/>
                <w:vertAlign w:val="superscript"/>
              </w:rPr>
              <w:t>2</w:t>
            </w:r>
            <w:r w:rsidRPr="00E331FB">
              <w:rPr>
                <w:color w:val="0000FF"/>
              </w:rPr>
              <w:t>)</w:t>
            </w:r>
          </w:p>
          <w:p w:rsidR="00EF4EC1" w:rsidRPr="00E331FB" w:rsidRDefault="00EF4EC1" w:rsidP="00EF4EC1">
            <w:pPr>
              <w:pStyle w:val="Slide3"/>
              <w:rPr>
                <w:color w:val="0000FF"/>
              </w:rPr>
            </w:pPr>
            <w:r w:rsidRPr="00E331FB">
              <w:rPr>
                <w:color w:val="0000FF"/>
              </w:rPr>
              <w:t>a</w:t>
            </w:r>
            <w:r w:rsidRPr="00E331FB">
              <w:rPr>
                <w:color w:val="0000FF"/>
                <w:vertAlign w:val="subscript"/>
              </w:rPr>
              <w:t>2</w:t>
            </w:r>
            <w:r w:rsidRPr="00E331FB">
              <w:rPr>
                <w:color w:val="0000FF"/>
              </w:rPr>
              <w:tab/>
              <w:t>=</w:t>
            </w:r>
            <w:r w:rsidRPr="00E331FB">
              <w:rPr>
                <w:color w:val="0000FF"/>
              </w:rPr>
              <w:tab/>
              <w:t xml:space="preserve">area of </w:t>
            </w:r>
            <w:r w:rsidRPr="00E331FB">
              <w:rPr>
                <w:bCs/>
                <w:color w:val="0000FF"/>
              </w:rPr>
              <w:t>industrial and utility premises</w:t>
            </w:r>
            <w:r w:rsidRPr="00E331FB">
              <w:rPr>
                <w:color w:val="0000FF"/>
              </w:rPr>
              <w:t xml:space="preserve"> in circle 2 (in m</w:t>
            </w:r>
            <w:r w:rsidRPr="00E331FB">
              <w:rPr>
                <w:color w:val="0000FF"/>
                <w:vertAlign w:val="superscript"/>
              </w:rPr>
              <w:t>2</w:t>
            </w:r>
            <w:r w:rsidRPr="00E331FB">
              <w:rPr>
                <w:color w:val="0000FF"/>
              </w:rPr>
              <w:t>)</w:t>
            </w:r>
          </w:p>
          <w:p w:rsidR="00EF4EC1" w:rsidRPr="00E331FB" w:rsidRDefault="00EF4EC1" w:rsidP="00EF4EC1">
            <w:pPr>
              <w:pStyle w:val="Slide3"/>
              <w:rPr>
                <w:color w:val="0000FF"/>
              </w:rPr>
            </w:pPr>
            <w:r w:rsidRPr="00E331FB">
              <w:rPr>
                <w:color w:val="0000FF"/>
              </w:rPr>
              <w:t>b</w:t>
            </w:r>
            <w:r w:rsidRPr="00E331FB">
              <w:rPr>
                <w:color w:val="0000FF"/>
                <w:vertAlign w:val="subscript"/>
              </w:rPr>
              <w:t>1</w:t>
            </w:r>
            <w:r w:rsidRPr="00E331FB">
              <w:rPr>
                <w:color w:val="0000FF"/>
              </w:rPr>
              <w:tab/>
              <w:t>=</w:t>
            </w:r>
            <w:r w:rsidRPr="00E331FB">
              <w:rPr>
                <w:color w:val="0000FF"/>
              </w:rPr>
              <w:tab/>
              <w:t>area of commercial premises within circle 1 (in m</w:t>
            </w:r>
            <w:r w:rsidRPr="00E331FB">
              <w:rPr>
                <w:color w:val="0000FF"/>
                <w:vertAlign w:val="superscript"/>
              </w:rPr>
              <w:t>2</w:t>
            </w:r>
            <w:r w:rsidRPr="00E331FB">
              <w:rPr>
                <w:color w:val="0000FF"/>
              </w:rPr>
              <w:t>)</w:t>
            </w:r>
          </w:p>
          <w:p w:rsidR="00EF4EC1" w:rsidRPr="00E331FB" w:rsidRDefault="00EF4EC1" w:rsidP="00EF4EC1">
            <w:pPr>
              <w:pStyle w:val="Slide3"/>
              <w:rPr>
                <w:color w:val="0000FF"/>
              </w:rPr>
            </w:pPr>
            <w:r w:rsidRPr="00E331FB">
              <w:rPr>
                <w:color w:val="0000FF"/>
              </w:rPr>
              <w:t>b</w:t>
            </w:r>
            <w:r w:rsidRPr="00E331FB">
              <w:rPr>
                <w:color w:val="0000FF"/>
                <w:vertAlign w:val="subscript"/>
              </w:rPr>
              <w:t>2</w:t>
            </w:r>
            <w:r w:rsidRPr="00E331FB">
              <w:rPr>
                <w:color w:val="0000FF"/>
              </w:rPr>
              <w:tab/>
              <w:t>=</w:t>
            </w:r>
            <w:r w:rsidRPr="00E331FB">
              <w:rPr>
                <w:color w:val="0000FF"/>
              </w:rPr>
              <w:tab/>
              <w:t>area of commercial premises within circle 2 (in m</w:t>
            </w:r>
            <w:r w:rsidRPr="00E331FB">
              <w:rPr>
                <w:color w:val="0000FF"/>
                <w:vertAlign w:val="superscript"/>
              </w:rPr>
              <w:t>2</w:t>
            </w:r>
            <w:r w:rsidRPr="00E331FB">
              <w:rPr>
                <w:color w:val="0000FF"/>
              </w:rPr>
              <w:t>)</w:t>
            </w:r>
          </w:p>
          <w:p w:rsidR="00EF4EC1" w:rsidRPr="00E331FB" w:rsidRDefault="00EF4EC1" w:rsidP="00EF4EC1">
            <w:pPr>
              <w:pStyle w:val="Slide3"/>
              <w:rPr>
                <w:color w:val="0000FF"/>
              </w:rPr>
            </w:pPr>
            <w:r w:rsidRPr="00E331FB">
              <w:rPr>
                <w:color w:val="0000FF"/>
              </w:rPr>
              <w:t>t</w:t>
            </w:r>
            <w:r w:rsidRPr="00E331FB">
              <w:rPr>
                <w:color w:val="0000FF"/>
              </w:rPr>
              <w:tab/>
              <w:t>=</w:t>
            </w:r>
            <w:r w:rsidRPr="00E331FB">
              <w:rPr>
                <w:color w:val="0000FF"/>
              </w:rPr>
              <w:tab/>
              <w:t>lesser of 6 and the transport factor determined under section 1.</w:t>
            </w:r>
          </w:p>
          <w:p w:rsidR="00EF4EC1" w:rsidRPr="00E331FB" w:rsidRDefault="00EF4EC1" w:rsidP="00EF4EC1">
            <w:pPr>
              <w:pStyle w:val="Slide2"/>
              <w:rPr>
                <w:color w:val="0000FF"/>
              </w:rPr>
            </w:pPr>
            <w:r w:rsidRPr="00E331FB">
              <w:rPr>
                <w:color w:val="0000FF"/>
              </w:rPr>
              <w:t>(2)</w:t>
            </w:r>
            <w:r w:rsidRPr="00E331FB">
              <w:rPr>
                <w:color w:val="0000FF"/>
              </w:rPr>
              <w:tab/>
              <w:t>In subsection (1):</w:t>
            </w:r>
          </w:p>
          <w:p w:rsidR="00EF4EC1" w:rsidRPr="00E331FB" w:rsidRDefault="00EF4EC1" w:rsidP="00EF4EC1">
            <w:pPr>
              <w:pStyle w:val="Slide3"/>
              <w:tabs>
                <w:tab w:val="clear" w:pos="1021"/>
              </w:tabs>
              <w:ind w:left="567" w:firstLine="0"/>
              <w:rPr>
                <w:color w:val="0000FF"/>
              </w:rPr>
            </w:pPr>
            <w:r w:rsidRPr="00E331FB">
              <w:rPr>
                <w:b/>
                <w:bCs/>
                <w:color w:val="0000FF"/>
              </w:rPr>
              <w:t xml:space="preserve">circle 1 </w:t>
            </w:r>
            <w:r w:rsidRPr="00E331FB">
              <w:rPr>
                <w:color w:val="0000FF"/>
              </w:rPr>
              <w:t>means a circle, with a radius of 100 m, centred on the measurement point on the noise sensitive premises</w:t>
            </w:r>
          </w:p>
          <w:p w:rsidR="00EF4EC1" w:rsidRPr="00E331FB" w:rsidRDefault="00EF4EC1" w:rsidP="00EF4EC1">
            <w:pPr>
              <w:pStyle w:val="Slide3"/>
              <w:tabs>
                <w:tab w:val="clear" w:pos="1021"/>
              </w:tabs>
              <w:ind w:left="567" w:firstLine="0"/>
              <w:rPr>
                <w:color w:val="0000FF"/>
              </w:rPr>
            </w:pPr>
            <w:r w:rsidRPr="00E331FB">
              <w:rPr>
                <w:b/>
                <w:bCs/>
                <w:color w:val="0000FF"/>
              </w:rPr>
              <w:t>circle 2</w:t>
            </w:r>
            <w:r w:rsidRPr="00E331FB">
              <w:rPr>
                <w:color w:val="0000FF"/>
              </w:rPr>
              <w:t xml:space="preserve"> means a circle, with a radius of 450 m, centred on the measurement point on the noise sensitive premises.</w:t>
            </w:r>
          </w:p>
        </w:tc>
      </w:tr>
    </w:tbl>
    <w:p w:rsidR="00EF4EC1" w:rsidRPr="007D7133" w:rsidRDefault="00EF4EC1" w:rsidP="00EF4EC1">
      <w:pPr>
        <w:pStyle w:val="Normaltext1"/>
      </w:pPr>
      <w:bookmarkStart w:id="191" w:name="_Ref475798851"/>
      <w:r w:rsidRPr="007D7133">
        <w:t xml:space="preserve">If the calculation is subject to exceptions, special cases, alternatives, limitations, </w:t>
      </w:r>
      <w:r>
        <w:t>etc.</w:t>
      </w:r>
      <w:r w:rsidRPr="007D7133">
        <w:t xml:space="preserve"> consider including them in the formula. A reader who works out his calculation using a formula will likely not be pleased to then discover that he has to work through multiple exceptions </w:t>
      </w:r>
      <w:r>
        <w:t>etc.</w:t>
      </w:r>
      <w:r w:rsidRPr="007D7133">
        <w:t xml:space="preserve"> only to find that he has to redo the calculation with modifications, or that the formula didn’t apply to him at all.</w:t>
      </w:r>
    </w:p>
    <w:p w:rsidR="00D93B99" w:rsidRDefault="00EF4EC1" w:rsidP="00EF4EC1">
      <w:pPr>
        <w:pStyle w:val="Normaltext1"/>
      </w:pPr>
      <w:r w:rsidRPr="007D7133">
        <w:t>Providing for alternative or limitations may be as simple as modifying the definition of a variable. In example 36, imposing a $150</w:t>
      </w:r>
      <w:r>
        <w:t> 000</w:t>
      </w:r>
      <w:r w:rsidRPr="007D7133">
        <w:t xml:space="preserve"> cap on the remuneration to be used in the calculation can be done by defining the variable to be the lesser of the member’s remuneration and $150</w:t>
      </w:r>
      <w:r>
        <w:t> 000</w:t>
      </w:r>
      <w:r w:rsidRPr="007D7133">
        <w:t>.</w:t>
      </w:r>
    </w:p>
    <w:p w:rsidR="00D93B99" w:rsidRDefault="00D93B99" w:rsidP="00D93B99">
      <w:pPr>
        <w:rPr>
          <w:rFonts w:eastAsia="Calibri"/>
          <w:color w:val="000000"/>
          <w:spacing w:val="-3"/>
          <w:szCs w:val="25"/>
          <w:lang w:val="en-CA"/>
        </w:rPr>
      </w:pPr>
      <w:r>
        <w:br w:type="page"/>
      </w:r>
    </w:p>
    <w:p w:rsidR="00EF4EC1" w:rsidRPr="007D7133" w:rsidRDefault="00EF4EC1" w:rsidP="00EF4EC1">
      <w:pPr>
        <w:pStyle w:val="Normaltext1"/>
      </w:pPr>
    </w:p>
    <w:p w:rsidR="00EF4EC1" w:rsidRPr="00616683" w:rsidRDefault="00EF4EC1" w:rsidP="00EF4EC1">
      <w:pPr>
        <w:pStyle w:val="Slidelabel"/>
      </w:pPr>
      <w:bookmarkStart w:id="192" w:name="_Ref476216320"/>
      <w:r w:rsidRPr="00616683">
        <w:t>Imposing a cap on a variable</w:t>
      </w:r>
      <w:bookmarkEnd w:id="191"/>
      <w:bookmarkEnd w:id="192"/>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E331FB" w:rsidTr="00EF4EC1">
        <w:tc>
          <w:tcPr>
            <w:tcW w:w="8505" w:type="dxa"/>
            <w:shd w:val="clear" w:color="auto" w:fill="FFFFFF"/>
          </w:tcPr>
          <w:p w:rsidR="00EF4EC1" w:rsidRPr="00E331FB" w:rsidRDefault="00EF4EC1" w:rsidP="00EF4EC1">
            <w:pPr>
              <w:pStyle w:val="Slide1"/>
              <w:keepNext w:val="0"/>
              <w:rPr>
                <w:color w:val="0000FF"/>
              </w:rPr>
            </w:pPr>
            <w:r w:rsidRPr="00E331FB">
              <w:rPr>
                <w:color w:val="0000FF"/>
              </w:rPr>
              <w:t>17</w:t>
            </w:r>
            <w:r w:rsidRPr="00E331FB">
              <w:rPr>
                <w:color w:val="0000FF"/>
              </w:rPr>
              <w:tab/>
              <w:t>Retirement benefit</w:t>
            </w:r>
          </w:p>
          <w:p w:rsidR="00EF4EC1" w:rsidRPr="00E331FB" w:rsidRDefault="00EF4EC1" w:rsidP="00EF4EC1">
            <w:pPr>
              <w:pStyle w:val="Slide2"/>
              <w:rPr>
                <w:i/>
                <w:color w:val="0000FF"/>
              </w:rPr>
            </w:pPr>
            <w:r w:rsidRPr="00E331FB">
              <w:rPr>
                <w:color w:val="0000FF"/>
              </w:rPr>
              <w:tab/>
              <w:t>If a member becomes entitled to a benefit under regulation 16, the amount of the benefit is to be calculated in accordance with the formula:</w:t>
            </w:r>
          </w:p>
          <w:p w:rsidR="00EF4EC1" w:rsidRPr="00E331FB" w:rsidRDefault="00EF4EC1" w:rsidP="00EF4EC1">
            <w:pPr>
              <w:pStyle w:val="SlideEquation"/>
              <w:rPr>
                <w:rFonts w:ascii="Cambria Math" w:hAnsi="Cambria Math"/>
                <w:color w:val="0000FF"/>
                <w:oMath/>
              </w:rPr>
            </w:pPr>
            <m:oMathPara>
              <m:oMathParaPr>
                <m:jc m:val="left"/>
              </m:oMathParaPr>
              <m:oMath>
                <m:r>
                  <m:rPr>
                    <m:nor/>
                  </m:rPr>
                  <w:rPr>
                    <w:color w:val="0000FF"/>
                  </w:rPr>
                  <m:t>b</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f>
                      <m:fPr>
                        <m:ctrlPr>
                          <w:rPr>
                            <w:rFonts w:ascii="Cambria Math" w:hAnsi="Cambria Math"/>
                            <w:i/>
                            <w:color w:val="0000FF"/>
                          </w:rPr>
                        </m:ctrlPr>
                      </m:fPr>
                      <m:num>
                        <m:r>
                          <m:rPr>
                            <m:nor/>
                          </m:rPr>
                          <w:rPr>
                            <w:color w:val="0000FF"/>
                          </w:rPr>
                          <m:t>m</m:t>
                        </m:r>
                      </m:num>
                      <m:den>
                        <m:r>
                          <m:rPr>
                            <m:nor/>
                          </m:rPr>
                          <w:rPr>
                            <w:color w:val="0000FF"/>
                          </w:rPr>
                          <m:t>12</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c</m:t>
                        </m:r>
                      </m:num>
                      <m:den>
                        <m:r>
                          <m:rPr>
                            <m:nor/>
                          </m:rPr>
                          <w:rPr>
                            <w:color w:val="0000FF"/>
                          </w:rPr>
                          <m:t>5</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2</m:t>
                        </m:r>
                      </m:num>
                      <m:den>
                        <m:r>
                          <m:rPr>
                            <m:nor/>
                          </m:rPr>
                          <w:rPr>
                            <w:color w:val="0000FF"/>
                          </w:rPr>
                          <m:t>10</m:t>
                        </m:r>
                      </m:den>
                    </m:f>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b</w:t>
            </w:r>
            <w:r w:rsidRPr="00E331FB">
              <w:rPr>
                <w:color w:val="0000FF"/>
              </w:rPr>
              <w:tab/>
              <w:t>=</w:t>
            </w:r>
            <w:r w:rsidRPr="00E331FB">
              <w:rPr>
                <w:color w:val="0000FF"/>
              </w:rPr>
              <w:tab/>
              <w:t>amount of the benefit</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member’s remuneration</w:t>
            </w:r>
          </w:p>
          <w:p w:rsidR="00EF4EC1" w:rsidRPr="00E331FB" w:rsidRDefault="00EF4EC1" w:rsidP="00EF4EC1">
            <w:pPr>
              <w:pStyle w:val="Slide3"/>
              <w:rPr>
                <w:color w:val="0000FF"/>
              </w:rPr>
            </w:pPr>
            <w:r w:rsidRPr="00E331FB">
              <w:rPr>
                <w:color w:val="0000FF"/>
              </w:rPr>
              <w:t>m</w:t>
            </w:r>
            <w:r w:rsidRPr="00E331FB">
              <w:rPr>
                <w:color w:val="0000FF"/>
              </w:rPr>
              <w:tab/>
              <w:t>=</w:t>
            </w:r>
            <w:r w:rsidRPr="00E331FB">
              <w:rPr>
                <w:color w:val="0000FF"/>
              </w:rPr>
              <w:tab/>
              <w:t>number of months of employment</w:t>
            </w:r>
          </w:p>
          <w:p w:rsidR="00EF4EC1" w:rsidRPr="00E331FB" w:rsidRDefault="00EF4EC1" w:rsidP="00EF4EC1">
            <w:pPr>
              <w:pStyle w:val="Slide3"/>
              <w:rPr>
                <w:color w:val="0000FF"/>
              </w:rPr>
            </w:pPr>
            <w:r w:rsidRPr="00E331FB">
              <w:rPr>
                <w:color w:val="0000FF"/>
              </w:rPr>
              <w:t>C</w:t>
            </w:r>
            <w:r w:rsidRPr="00E331FB">
              <w:rPr>
                <w:color w:val="0000FF"/>
              </w:rPr>
              <w:tab/>
              <w:t>=</w:t>
            </w:r>
            <w:r w:rsidRPr="00E331FB">
              <w:rPr>
                <w:color w:val="0000FF"/>
              </w:rPr>
              <w:tab/>
              <w:t>member’s contribution rate.</w:t>
            </w:r>
          </w:p>
        </w:tc>
      </w:tr>
      <w:tr w:rsidR="00EF4EC1" w:rsidRPr="00E331FB" w:rsidTr="00EF4EC1">
        <w:tc>
          <w:tcPr>
            <w:tcW w:w="8505" w:type="dxa"/>
            <w:shd w:val="clear" w:color="auto" w:fill="FFFFFF"/>
          </w:tcPr>
          <w:p w:rsidR="00EF4EC1" w:rsidRPr="00E331FB" w:rsidRDefault="00EF4EC1" w:rsidP="00EF4EC1">
            <w:pPr>
              <w:pStyle w:val="Slide2"/>
              <w:ind w:left="0" w:firstLine="0"/>
              <w:rPr>
                <w:i/>
                <w:color w:val="0000FF"/>
              </w:rPr>
            </w:pPr>
            <w:r w:rsidRPr="00E331FB">
              <w:rPr>
                <w:i/>
                <w:color w:val="0000FF"/>
              </w:rPr>
              <w:t>With $150</w:t>
            </w:r>
            <w:r>
              <w:rPr>
                <w:i/>
                <w:color w:val="0000FF"/>
              </w:rPr>
              <w:t> 000</w:t>
            </w:r>
            <w:r w:rsidRPr="00E331FB">
              <w:rPr>
                <w:i/>
                <w:color w:val="0000FF"/>
              </w:rPr>
              <w:t xml:space="preserve"> cap on remuneration:</w:t>
            </w:r>
          </w:p>
          <w:p w:rsidR="00EF4EC1" w:rsidRPr="00E331FB" w:rsidRDefault="00EF4EC1" w:rsidP="00EF4EC1">
            <w:pPr>
              <w:pStyle w:val="SlideEquation"/>
              <w:rPr>
                <w:color w:val="0000FF"/>
                <w:oMath/>
              </w:rPr>
            </w:pPr>
            <m:oMathPara>
              <m:oMathParaPr>
                <m:jc m:val="left"/>
              </m:oMathParaPr>
              <m:oMath>
                <m:r>
                  <m:rPr>
                    <m:nor/>
                  </m:rPr>
                  <w:rPr>
                    <w:color w:val="0000FF"/>
                  </w:rPr>
                  <m:t>b</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f>
                      <m:fPr>
                        <m:ctrlPr>
                          <w:rPr>
                            <w:rFonts w:ascii="Cambria Math" w:hAnsi="Cambria Math"/>
                            <w:i/>
                            <w:color w:val="0000FF"/>
                          </w:rPr>
                        </m:ctrlPr>
                      </m:fPr>
                      <m:num>
                        <m:r>
                          <m:rPr>
                            <m:nor/>
                          </m:rPr>
                          <w:rPr>
                            <w:color w:val="0000FF"/>
                          </w:rPr>
                          <m:t>m</m:t>
                        </m:r>
                      </m:num>
                      <m:den>
                        <m:r>
                          <m:rPr>
                            <m:nor/>
                          </m:rPr>
                          <w:rPr>
                            <w:color w:val="0000FF"/>
                          </w:rPr>
                          <m:t>12</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c</m:t>
                        </m:r>
                      </m:num>
                      <m:den>
                        <m:r>
                          <m:rPr>
                            <m:nor/>
                          </m:rPr>
                          <w:rPr>
                            <w:color w:val="0000FF"/>
                          </w:rPr>
                          <m:t>5</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2</m:t>
                        </m:r>
                      </m:num>
                      <m:den>
                        <m:r>
                          <m:rPr>
                            <m:nor/>
                          </m:rPr>
                          <w:rPr>
                            <w:color w:val="0000FF"/>
                          </w:rPr>
                          <m:t>10</m:t>
                        </m:r>
                      </m:den>
                    </m:f>
                  </m:e>
                </m:d>
              </m:oMath>
            </m:oMathPara>
          </w:p>
          <w:p w:rsidR="00EF4EC1" w:rsidRPr="00E331FB" w:rsidRDefault="00EF4EC1" w:rsidP="00EF4EC1">
            <w:pPr>
              <w:pStyle w:val="Slide3"/>
              <w:rPr>
                <w:color w:val="0000FF"/>
              </w:rPr>
            </w:pPr>
            <w:r w:rsidRPr="00E331FB">
              <w:rPr>
                <w:color w:val="0000FF"/>
              </w:rPr>
              <w:t>where:</w:t>
            </w:r>
          </w:p>
          <w:p w:rsidR="00EF4EC1" w:rsidRDefault="00EF4EC1" w:rsidP="00EF4EC1">
            <w:pPr>
              <w:pStyle w:val="Slide3"/>
              <w:tabs>
                <w:tab w:val="left" w:pos="4962"/>
                <w:tab w:val="left" w:pos="5245"/>
              </w:tabs>
              <w:rPr>
                <w:color w:val="0000FF"/>
              </w:rPr>
            </w:pPr>
            <w:r>
              <w:rPr>
                <w:color w:val="0000FF"/>
              </w:rPr>
              <w:t>r</w:t>
            </w:r>
            <w:r w:rsidRPr="00E331FB">
              <w:rPr>
                <w:color w:val="0000FF"/>
              </w:rPr>
              <w:tab/>
              <w:t>=</w:t>
            </w:r>
            <w:r w:rsidRPr="00E331FB">
              <w:rPr>
                <w:color w:val="0000FF"/>
              </w:rPr>
              <w:tab/>
            </w:r>
            <w:r>
              <w:rPr>
                <w:color w:val="0000FF"/>
              </w:rPr>
              <w:t xml:space="preserve">the lesser of: </w:t>
            </w:r>
          </w:p>
          <w:p w:rsidR="00EF4EC1" w:rsidRDefault="00EF4EC1" w:rsidP="00EF4EC1">
            <w:pPr>
              <w:pStyle w:val="Slide3"/>
              <w:tabs>
                <w:tab w:val="left" w:pos="1701"/>
                <w:tab w:val="left" w:pos="4962"/>
                <w:tab w:val="left" w:pos="5245"/>
              </w:tabs>
              <w:rPr>
                <w:color w:val="0000FF"/>
              </w:rPr>
            </w:pPr>
            <w:r>
              <w:rPr>
                <w:color w:val="0000FF"/>
              </w:rPr>
              <w:tab/>
            </w:r>
            <w:r>
              <w:rPr>
                <w:color w:val="0000FF"/>
              </w:rPr>
              <w:tab/>
              <w:t>(a)</w:t>
            </w:r>
            <w:r>
              <w:rPr>
                <w:color w:val="0000FF"/>
              </w:rPr>
              <w:tab/>
              <w:t>the member’s remuneration; and</w:t>
            </w:r>
          </w:p>
          <w:p w:rsidR="00EF4EC1" w:rsidRPr="00E331FB" w:rsidRDefault="00EF4EC1" w:rsidP="00EF4EC1">
            <w:pPr>
              <w:pStyle w:val="Slide3"/>
              <w:tabs>
                <w:tab w:val="left" w:pos="1701"/>
                <w:tab w:val="left" w:pos="4962"/>
                <w:tab w:val="left" w:pos="5245"/>
              </w:tabs>
              <w:rPr>
                <w:color w:val="0000FF"/>
              </w:rPr>
            </w:pPr>
            <w:r>
              <w:rPr>
                <w:color w:val="0000FF"/>
              </w:rPr>
              <w:tab/>
            </w:r>
            <w:r>
              <w:rPr>
                <w:color w:val="0000FF"/>
              </w:rPr>
              <w:tab/>
              <w:t>(b)</w:t>
            </w:r>
            <w:r>
              <w:rPr>
                <w:color w:val="0000FF"/>
              </w:rPr>
              <w:tab/>
              <w:t>$150 000</w:t>
            </w:r>
          </w:p>
          <w:p w:rsidR="00EF4EC1" w:rsidRPr="00E331FB" w:rsidRDefault="00EF4EC1" w:rsidP="00EF4EC1">
            <w:pPr>
              <w:pStyle w:val="Slide3"/>
              <w:rPr>
                <w:color w:val="0000FF"/>
              </w:rPr>
            </w:pPr>
            <w:r w:rsidRPr="00E331FB">
              <w:rPr>
                <w:color w:val="0000FF"/>
              </w:rPr>
              <w:t>m</w:t>
            </w:r>
            <w:r w:rsidRPr="00E331FB">
              <w:rPr>
                <w:color w:val="0000FF"/>
              </w:rPr>
              <w:tab/>
              <w:t>=</w:t>
            </w:r>
            <w:r w:rsidRPr="00E331FB">
              <w:rPr>
                <w:color w:val="0000FF"/>
              </w:rPr>
              <w:tab/>
              <w:t>number of months of employment</w:t>
            </w:r>
          </w:p>
          <w:p w:rsidR="00EF4EC1" w:rsidRPr="00E331FB" w:rsidRDefault="00EF4EC1" w:rsidP="00EF4EC1">
            <w:pPr>
              <w:pStyle w:val="Slide3"/>
              <w:rPr>
                <w:color w:val="0000FF"/>
              </w:rPr>
            </w:pPr>
            <w:r w:rsidRPr="00E331FB">
              <w:rPr>
                <w:color w:val="0000FF"/>
              </w:rPr>
              <w:t>c</w:t>
            </w:r>
            <w:r w:rsidRPr="00E331FB">
              <w:rPr>
                <w:color w:val="0000FF"/>
              </w:rPr>
              <w:tab/>
              <w:t>=</w:t>
            </w:r>
            <w:r w:rsidRPr="00E331FB">
              <w:rPr>
                <w:color w:val="0000FF"/>
              </w:rPr>
              <w:tab/>
              <w:t>member’s contribution rate.</w:t>
            </w:r>
          </w:p>
        </w:tc>
      </w:tr>
      <w:tr w:rsidR="00EF4EC1" w:rsidRPr="00E331FB" w:rsidTr="00EF4EC1">
        <w:tc>
          <w:tcPr>
            <w:tcW w:w="8505" w:type="dxa"/>
            <w:shd w:val="clear" w:color="auto" w:fill="FFFFFF"/>
          </w:tcPr>
          <w:p w:rsidR="00EF4EC1" w:rsidRDefault="00EF4EC1" w:rsidP="00EF4EC1">
            <w:pPr>
              <w:pStyle w:val="Slide2"/>
              <w:ind w:left="0" w:firstLine="0"/>
              <w:rPr>
                <w:i/>
                <w:color w:val="0000FF"/>
              </w:rPr>
            </w:pPr>
            <w:r>
              <w:rPr>
                <w:i/>
                <w:color w:val="0000FF"/>
              </w:rPr>
              <w:t xml:space="preserve">Or written more mathematically, r can be defined: </w:t>
            </w:r>
          </w:p>
          <w:p w:rsidR="00EF4EC1" w:rsidRPr="00E331FB" w:rsidRDefault="00EF4EC1" w:rsidP="00EF4EC1">
            <w:pPr>
              <w:pStyle w:val="Slide3"/>
              <w:tabs>
                <w:tab w:val="left" w:pos="4962"/>
                <w:tab w:val="left" w:pos="5245"/>
              </w:tabs>
              <w:rPr>
                <w:color w:val="0000FF"/>
              </w:rPr>
            </w:pPr>
            <w:r>
              <w:rPr>
                <w:color w:val="0000FF"/>
              </w:rPr>
              <w:t>r</w:t>
            </w:r>
            <w:r w:rsidRPr="00E331FB">
              <w:rPr>
                <w:color w:val="0000FF"/>
              </w:rPr>
              <w:tab/>
              <w:t>=</w:t>
            </w:r>
            <w:r w:rsidRPr="00E331FB">
              <w:rPr>
                <w:color w:val="0000FF"/>
              </w:rPr>
              <w:tab/>
              <w:t xml:space="preserve">if </w:t>
            </w:r>
            <w:r>
              <w:rPr>
                <w:color w:val="0000FF"/>
              </w:rPr>
              <w:t xml:space="preserve">s </w:t>
            </w:r>
            <w:r w:rsidRPr="00E331FB">
              <w:rPr>
                <w:color w:val="0000FF"/>
              </w:rPr>
              <w:t>≤</w:t>
            </w:r>
            <w:r>
              <w:rPr>
                <w:color w:val="0000FF"/>
              </w:rPr>
              <w:t xml:space="preserve"> </w:t>
            </w:r>
            <w:r w:rsidRPr="00E331FB">
              <w:rPr>
                <w:color w:val="0000FF"/>
              </w:rPr>
              <w:t>150</w:t>
            </w:r>
            <w:r>
              <w:rPr>
                <w:color w:val="0000FF"/>
              </w:rPr>
              <w:t> 000</w:t>
            </w:r>
            <w:r w:rsidRPr="00E331FB">
              <w:rPr>
                <w:color w:val="0000FF"/>
              </w:rPr>
              <w:t xml:space="preserve">, then </w:t>
            </w:r>
            <w:r>
              <w:rPr>
                <w:color w:val="0000FF"/>
              </w:rPr>
              <w:t xml:space="preserve">r </w:t>
            </w:r>
            <w:r w:rsidRPr="00E331FB">
              <w:rPr>
                <w:color w:val="0000FF"/>
              </w:rPr>
              <w:t>=</w:t>
            </w:r>
            <w:r>
              <w:rPr>
                <w:color w:val="0000FF"/>
              </w:rPr>
              <w:t xml:space="preserve"> s</w:t>
            </w:r>
            <w:r>
              <w:rPr>
                <w:color w:val="0000FF"/>
              </w:rPr>
              <w:br/>
            </w:r>
            <w:r w:rsidRPr="00E331FB">
              <w:rPr>
                <w:color w:val="0000FF"/>
              </w:rPr>
              <w:t xml:space="preserve">if </w:t>
            </w:r>
            <w:r>
              <w:rPr>
                <w:color w:val="0000FF"/>
              </w:rPr>
              <w:t xml:space="preserve">s </w:t>
            </w:r>
            <w:r w:rsidRPr="00E331FB">
              <w:rPr>
                <w:color w:val="0000FF"/>
              </w:rPr>
              <w:t>&gt;</w:t>
            </w:r>
            <w:r>
              <w:rPr>
                <w:color w:val="0000FF"/>
              </w:rPr>
              <w:t xml:space="preserve"> </w:t>
            </w:r>
            <w:r w:rsidRPr="00E331FB">
              <w:rPr>
                <w:color w:val="0000FF"/>
              </w:rPr>
              <w:t>15</w:t>
            </w:r>
            <w:r>
              <w:rPr>
                <w:color w:val="0000FF"/>
              </w:rPr>
              <w:t>0 000</w:t>
            </w:r>
            <w:r w:rsidRPr="00E331FB">
              <w:rPr>
                <w:color w:val="0000FF"/>
              </w:rPr>
              <w:t xml:space="preserve">, then </w:t>
            </w:r>
            <w:r>
              <w:rPr>
                <w:color w:val="0000FF"/>
              </w:rPr>
              <w:t xml:space="preserve">r </w:t>
            </w:r>
            <w:r w:rsidRPr="00E331FB">
              <w:rPr>
                <w:color w:val="0000FF"/>
              </w:rPr>
              <w:t>=</w:t>
            </w:r>
            <w:r>
              <w:rPr>
                <w:color w:val="0000FF"/>
              </w:rPr>
              <w:t xml:space="preserve"> </w:t>
            </w:r>
            <w:r w:rsidRPr="00E331FB">
              <w:rPr>
                <w:color w:val="0000FF"/>
              </w:rPr>
              <w:t>150</w:t>
            </w:r>
            <w:r>
              <w:rPr>
                <w:color w:val="0000FF"/>
              </w:rPr>
              <w:t> 000</w:t>
            </w:r>
          </w:p>
          <w:p w:rsidR="00EF4EC1" w:rsidRPr="00153201" w:rsidRDefault="00EF4EC1" w:rsidP="00EF4EC1">
            <w:pPr>
              <w:pStyle w:val="Slide3"/>
              <w:tabs>
                <w:tab w:val="left" w:pos="4962"/>
                <w:tab w:val="left" w:pos="5387"/>
              </w:tabs>
              <w:rPr>
                <w:color w:val="0000FF"/>
              </w:rPr>
            </w:pPr>
            <w:r>
              <w:rPr>
                <w:color w:val="0000FF"/>
              </w:rPr>
              <w:t>s</w:t>
            </w:r>
            <w:r w:rsidRPr="00E331FB">
              <w:rPr>
                <w:color w:val="0000FF"/>
              </w:rPr>
              <w:tab/>
              <w:t>=</w:t>
            </w:r>
            <w:r w:rsidRPr="00E331FB">
              <w:rPr>
                <w:color w:val="0000FF"/>
              </w:rPr>
              <w:tab/>
              <w:t>member’s remuneration</w:t>
            </w:r>
          </w:p>
        </w:tc>
      </w:tr>
    </w:tbl>
    <w:p w:rsidR="00EF4EC1" w:rsidRPr="007D7133" w:rsidRDefault="00EF4EC1" w:rsidP="00EF4EC1">
      <w:pPr>
        <w:pStyle w:val="Normaltext1"/>
      </w:pPr>
      <w:r w:rsidRPr="007D7133">
        <w:t xml:space="preserve">In more complex cases, it may be necessary to modify the formula to incorporate exceptions, special cases, etc. The Heaviside unit step function may be of assistance here. In very simple terms, this is a mathematical function that makes it possible for cause elements of a formula to appear, or disappear, or turn inside out, by multiplying them by 1, 0, or </w:t>
      </w:r>
      <w:r>
        <w:t xml:space="preserve">– </w:t>
      </w:r>
      <w:r w:rsidRPr="007D7133">
        <w:t>1.</w:t>
      </w:r>
    </w:p>
    <w:p w:rsidR="00EF4EC1" w:rsidRPr="007D7133" w:rsidRDefault="00EF4EC1" w:rsidP="00EF4EC1">
      <w:pPr>
        <w:pStyle w:val="Normaltext1"/>
      </w:pPr>
      <w:r w:rsidRPr="007D7133">
        <w:t>The basic mathematical rules you need to remember in this regard are:</w:t>
      </w:r>
    </w:p>
    <w:p w:rsidR="00EF4EC1" w:rsidRPr="007D7133" w:rsidRDefault="00EF4EC1" w:rsidP="00EF4EC1">
      <w:pPr>
        <w:pStyle w:val="Bullet1"/>
      </w:pPr>
      <w:r w:rsidRPr="007D7133">
        <w:t>something multiplied by 1 = itself</w:t>
      </w:r>
    </w:p>
    <w:p w:rsidR="00EF4EC1" w:rsidRPr="007D7133" w:rsidRDefault="00EF4EC1" w:rsidP="00EF4EC1">
      <w:pPr>
        <w:pStyle w:val="Bullet1"/>
      </w:pPr>
      <w:r w:rsidRPr="007D7133">
        <w:lastRenderedPageBreak/>
        <w:t>something multiplied by 0 = zero</w:t>
      </w:r>
    </w:p>
    <w:p w:rsidR="00EF4EC1" w:rsidRPr="007D7133" w:rsidRDefault="00EF4EC1" w:rsidP="00EF4EC1">
      <w:pPr>
        <w:pStyle w:val="Bullet1"/>
      </w:pPr>
      <w:r w:rsidRPr="007D7133">
        <w:t xml:space="preserve">something multiplied by </w:t>
      </w:r>
      <w:r>
        <w:t>–</w:t>
      </w:r>
      <w:r w:rsidRPr="007D7133">
        <w:t xml:space="preserve">1 = </w:t>
      </w:r>
      <w:r>
        <w:t>–</w:t>
      </w:r>
      <w:r w:rsidRPr="007D7133">
        <w:t>itself</w:t>
      </w:r>
    </w:p>
    <w:p w:rsidR="00EF4EC1" w:rsidRPr="007D7133" w:rsidRDefault="00EF4EC1" w:rsidP="00EF4EC1">
      <w:pPr>
        <w:pStyle w:val="Bullet1"/>
      </w:pPr>
      <w:r w:rsidRPr="007D7133">
        <w:t>something divided by itself = 1</w:t>
      </w:r>
    </w:p>
    <w:p w:rsidR="00EF4EC1" w:rsidRPr="007D7133" w:rsidRDefault="00EF4EC1" w:rsidP="00EF4EC1">
      <w:pPr>
        <w:pStyle w:val="Bullet1"/>
      </w:pPr>
      <w:r w:rsidRPr="007D7133">
        <w:t xml:space="preserve">(A – B) </w:t>
      </w:r>
      <w:r>
        <w:t xml:space="preserve">can also be written as – </w:t>
      </w:r>
      <w:r w:rsidRPr="007D7133">
        <w:t>1 x (B – A)</w:t>
      </w:r>
    </w:p>
    <w:p w:rsidR="00EF4EC1" w:rsidRPr="007D7133" w:rsidRDefault="00EF4EC1" w:rsidP="00EF4EC1">
      <w:pPr>
        <w:pStyle w:val="Normaltext1"/>
      </w:pPr>
      <w:r w:rsidRPr="007D7133">
        <w:t>Example 37 shows the use of the step function to include in a formula a component that only applies in a certain case – when the member is a police officer. If the member is a police officer,</w:t>
      </w:r>
      <w:r>
        <w:t xml:space="preserve"> ‘p’ </w:t>
      </w:r>
      <w:r w:rsidRPr="007D7133">
        <w:t>will be one, and the extra component will be included. If the member is not a police officer,</w:t>
      </w:r>
      <w:r>
        <w:t xml:space="preserve"> ‘p’ </w:t>
      </w:r>
      <w:r w:rsidRPr="007D7133">
        <w:t>will be zero and, as anything times zero is zero, the extra benefit will be zero. In this example,</w:t>
      </w:r>
      <w:r>
        <w:t xml:space="preserve"> ‘p’ </w:t>
      </w:r>
      <w:r w:rsidRPr="007D7133">
        <w:t>is the “step constant” that effectively turns the extra component on or off.</w:t>
      </w:r>
    </w:p>
    <w:p w:rsidR="00EF4EC1" w:rsidRPr="00616683" w:rsidRDefault="00EF4EC1" w:rsidP="00EF4EC1">
      <w:pPr>
        <w:pStyle w:val="Slidelabel"/>
      </w:pPr>
      <w:bookmarkStart w:id="193" w:name="_Ref475799823"/>
      <w:r w:rsidRPr="00616683">
        <w:t>Adding a component that only applies sometimes</w:t>
      </w:r>
      <w:bookmarkEnd w:id="193"/>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525396" w:rsidTr="00EF4EC1">
        <w:tc>
          <w:tcPr>
            <w:tcW w:w="8505" w:type="dxa"/>
            <w:shd w:val="clear" w:color="auto" w:fill="FFFFFF"/>
          </w:tcPr>
          <w:p w:rsidR="00EF4EC1" w:rsidRPr="00E331FB" w:rsidRDefault="00EF4EC1" w:rsidP="00EF4EC1">
            <w:pPr>
              <w:pStyle w:val="Slide2"/>
              <w:ind w:left="0" w:firstLine="0"/>
              <w:rPr>
                <w:i/>
                <w:color w:val="0000FF"/>
              </w:rPr>
            </w:pPr>
            <w:r w:rsidRPr="00E331FB">
              <w:rPr>
                <w:i/>
                <w:color w:val="0000FF"/>
              </w:rPr>
              <w:t>From the formula in example 36, to add an extra component that only applies if the member is a police officer.</w:t>
            </w:r>
          </w:p>
          <w:p w:rsidR="00EF4EC1" w:rsidRPr="00E331FB" w:rsidRDefault="00EF4EC1" w:rsidP="00EF4EC1">
            <w:pPr>
              <w:pStyle w:val="SlideEquation"/>
              <w:rPr>
                <w:color w:val="0000FF"/>
                <w:oMath/>
              </w:rPr>
            </w:pPr>
            <m:oMathPara>
              <m:oMathParaPr>
                <m:jc m:val="left"/>
              </m:oMathParaPr>
              <m:oMath>
                <m:r>
                  <m:rPr>
                    <m:nor/>
                  </m:rPr>
                  <w:rPr>
                    <w:color w:val="0000FF"/>
                  </w:rPr>
                  <m:t>b</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color w:val="0000FF"/>
                      </w:rPr>
                    </m:ctrlPr>
                  </m:dPr>
                  <m:e>
                    <m:r>
                      <m:rPr>
                        <m:nor/>
                      </m:rPr>
                      <w:rPr>
                        <w:color w:val="0000FF"/>
                      </w:rPr>
                      <m:t>s</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m</m:t>
                        </m:r>
                      </m:num>
                      <m:den>
                        <m:r>
                          <m:rPr>
                            <m:nor/>
                          </m:rPr>
                          <w:rPr>
                            <w:color w:val="0000FF"/>
                          </w:rPr>
                          <m:t>12</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c</m:t>
                        </m:r>
                      </m:num>
                      <m:den>
                        <m:r>
                          <m:rPr>
                            <m:nor/>
                          </m:rPr>
                          <w:rPr>
                            <w:color w:val="0000FF"/>
                          </w:rPr>
                          <m:t>5</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2</m:t>
                        </m:r>
                      </m:num>
                      <m:den>
                        <m:r>
                          <m:rPr>
                            <m:nor/>
                          </m:rPr>
                          <w:rPr>
                            <w:color w:val="0000FF"/>
                          </w:rPr>
                          <m:t>10</m:t>
                        </m:r>
                      </m:den>
                    </m:f>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begChr m:val="["/>
                    <m:endChr m:val="]"/>
                    <m:ctrlPr>
                      <w:rPr>
                        <w:rFonts w:ascii="Cambria Math" w:hAnsi="Cambria Math"/>
                        <w:i/>
                        <w:color w:val="0000FF"/>
                      </w:rPr>
                    </m:ctrlPr>
                  </m:dPr>
                  <m:e>
                    <m:r>
                      <m:rPr>
                        <m:nor/>
                      </m:rPr>
                      <w:rPr>
                        <w:color w:val="0000FF"/>
                      </w:rPr>
                      <m:t>p</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m</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1</m:t>
                        </m:r>
                        <m:r>
                          <m:rPr>
                            <m:nor/>
                          </m:rPr>
                          <w:rPr>
                            <w:rFonts w:ascii="Cambria Math"/>
                            <w:color w:val="0000FF"/>
                          </w:rPr>
                          <m:t> </m:t>
                        </m:r>
                        <m:r>
                          <m:rPr>
                            <m:nor/>
                          </m:rPr>
                          <w:rPr>
                            <w:color w:val="0000FF"/>
                          </w:rPr>
                          <m:t>000</m:t>
                        </m:r>
                      </m:e>
                    </m:d>
                    <m:r>
                      <w:rPr>
                        <w:rFonts w:ascii="Cambria Math" w:hAnsi="Cambria Math"/>
                        <w:color w:val="0000FF"/>
                      </w:rPr>
                      <m:t xml:space="preserve"> </m:t>
                    </m:r>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Pr>
                <w:color w:val="0000FF"/>
              </w:rPr>
              <w:t>p</w:t>
            </w:r>
            <w:r w:rsidRPr="00E331FB">
              <w:rPr>
                <w:color w:val="0000FF"/>
              </w:rPr>
              <w:tab/>
              <w:t>=</w:t>
            </w:r>
            <w:r w:rsidRPr="00E331FB">
              <w:rPr>
                <w:color w:val="0000FF"/>
              </w:rPr>
              <w:tab/>
              <w:t xml:space="preserve">if the member is a police officer, then </w:t>
            </w:r>
            <w:r>
              <w:rPr>
                <w:color w:val="0000FF"/>
              </w:rPr>
              <w:t xml:space="preserve">p </w:t>
            </w:r>
            <w:r w:rsidRPr="00E331FB">
              <w:rPr>
                <w:color w:val="0000FF"/>
              </w:rPr>
              <w:t>=</w:t>
            </w:r>
            <w:r>
              <w:rPr>
                <w:color w:val="0000FF"/>
              </w:rPr>
              <w:t xml:space="preserve"> </w:t>
            </w:r>
            <w:r w:rsidRPr="00E331FB">
              <w:rPr>
                <w:color w:val="0000FF"/>
              </w:rPr>
              <w:t>1</w:t>
            </w:r>
          </w:p>
          <w:p w:rsidR="00EF4EC1" w:rsidRPr="00E331FB" w:rsidRDefault="00EF4EC1" w:rsidP="00EF4EC1">
            <w:pPr>
              <w:pStyle w:val="Slide4"/>
              <w:rPr>
                <w:color w:val="0000FF"/>
              </w:rPr>
            </w:pPr>
            <w:r w:rsidRPr="00E331FB">
              <w:rPr>
                <w:color w:val="0000FF"/>
              </w:rPr>
              <w:t xml:space="preserve">if the member is not a police officer, then </w:t>
            </w:r>
            <w:r>
              <w:rPr>
                <w:color w:val="0000FF"/>
              </w:rPr>
              <w:t xml:space="preserve">p </w:t>
            </w:r>
            <w:r w:rsidRPr="00E331FB">
              <w:rPr>
                <w:color w:val="0000FF"/>
              </w:rPr>
              <w:t>=</w:t>
            </w:r>
            <w:r>
              <w:rPr>
                <w:color w:val="0000FF"/>
              </w:rPr>
              <w:t xml:space="preserve"> </w:t>
            </w:r>
            <w:r w:rsidRPr="00E331FB">
              <w:rPr>
                <w:color w:val="0000FF"/>
              </w:rPr>
              <w:t xml:space="preserve">0 </w:t>
            </w:r>
          </w:p>
        </w:tc>
      </w:tr>
    </w:tbl>
    <w:p w:rsidR="00D93B99" w:rsidRDefault="00EF4EC1" w:rsidP="00EF4EC1">
      <w:pPr>
        <w:pStyle w:val="Normaltext1"/>
      </w:pPr>
      <w:r w:rsidRPr="007D7133">
        <w:t>Example 38 shows how a step constant can be used when the result to be calculated is the greater of 2 amounts. In an example as straightforward as this, using such a complex looking formula may hinder rather than help comprehension. However, I have included it to show how the step function can work.</w:t>
      </w:r>
    </w:p>
    <w:p w:rsidR="00D93B99" w:rsidRDefault="00D93B99" w:rsidP="00D93B99">
      <w:pPr>
        <w:rPr>
          <w:rFonts w:eastAsia="Calibri"/>
          <w:color w:val="000000"/>
          <w:spacing w:val="-3"/>
          <w:szCs w:val="25"/>
          <w:lang w:val="en-CA"/>
        </w:rPr>
      </w:pPr>
      <w:r>
        <w:br w:type="page"/>
      </w:r>
    </w:p>
    <w:p w:rsidR="00EF4EC1" w:rsidRPr="007D7133" w:rsidRDefault="00EF4EC1" w:rsidP="00EF4EC1">
      <w:pPr>
        <w:pStyle w:val="Normaltext1"/>
      </w:pPr>
    </w:p>
    <w:p w:rsidR="00EF4EC1" w:rsidRPr="00616683" w:rsidRDefault="00EF4EC1" w:rsidP="00EF4EC1">
      <w:pPr>
        <w:pStyle w:val="Slidelabel"/>
      </w:pPr>
      <w:bookmarkStart w:id="194" w:name="_Ref475806846"/>
      <w:r w:rsidRPr="00616683">
        <w:t>Result to be greater of 2 amounts</w:t>
      </w:r>
      <w:bookmarkEnd w:id="194"/>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E331FB" w:rsidTr="00EF4EC1">
        <w:tc>
          <w:tcPr>
            <w:tcW w:w="8505" w:type="dxa"/>
            <w:shd w:val="clear" w:color="auto" w:fill="FFFFFF"/>
          </w:tcPr>
          <w:p w:rsidR="00EF4EC1" w:rsidRPr="00E331FB" w:rsidRDefault="00EF4EC1" w:rsidP="00EF4EC1">
            <w:pPr>
              <w:pStyle w:val="Slide1"/>
              <w:keepNext w:val="0"/>
              <w:rPr>
                <w:color w:val="0000FF"/>
              </w:rPr>
            </w:pPr>
            <w:r w:rsidRPr="00E331FB">
              <w:rPr>
                <w:color w:val="0000FF"/>
              </w:rPr>
              <w:t>25</w:t>
            </w:r>
            <w:r w:rsidRPr="00E331FB">
              <w:rPr>
                <w:color w:val="0000FF"/>
              </w:rPr>
              <w:tab/>
              <w:t>Rubbish collection fee</w:t>
            </w:r>
          </w:p>
          <w:p w:rsidR="00EF4EC1" w:rsidRPr="00E331FB" w:rsidRDefault="00EF4EC1" w:rsidP="00EF4EC1">
            <w:pPr>
              <w:pStyle w:val="Slide2"/>
              <w:rPr>
                <w:color w:val="0000FF"/>
              </w:rPr>
            </w:pPr>
            <w:r w:rsidRPr="00E331FB">
              <w:rPr>
                <w:color w:val="0000FF"/>
              </w:rPr>
              <w:tab/>
              <w:t>The monthly fee for collection of rubbish is to be the greater of:</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$10; and</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the amount calculated in accordance with the formula:</w:t>
            </w:r>
          </w:p>
          <w:p w:rsidR="00EF4EC1" w:rsidRPr="00E331FB" w:rsidRDefault="00EF4EC1" w:rsidP="00EF4EC1">
            <w:pPr>
              <w:pStyle w:val="SlideEquation"/>
              <w:ind w:left="1134"/>
              <w:rPr>
                <w:color w:val="0000FF"/>
                <w:oMath/>
              </w:rPr>
            </w:pPr>
            <m:oMathPara>
              <m:oMathParaPr>
                <m:jc m:val="left"/>
              </m:oMathParaPr>
              <m:oMath>
                <m:r>
                  <m:rPr>
                    <m:nor/>
                  </m:rPr>
                  <w:rPr>
                    <w:color w:val="0000FF"/>
                  </w:rPr>
                  <m:t>b</m:t>
                </m:r>
                <m:r>
                  <m:rPr>
                    <m:nor/>
                  </m:rPr>
                  <w:rPr>
                    <w:rFonts w:ascii="Cambria Math"/>
                    <w:color w:val="0000FF"/>
                  </w:rPr>
                  <m:t xml:space="preserve"> = </m:t>
                </m:r>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n</m:t>
                </m:r>
              </m:oMath>
            </m:oMathPara>
          </w:p>
          <w:p w:rsidR="00EF4EC1" w:rsidRPr="00E331FB" w:rsidRDefault="00EF4EC1" w:rsidP="00EF4EC1">
            <w:pPr>
              <w:pStyle w:val="Slide4"/>
              <w:rPr>
                <w:color w:val="0000FF"/>
              </w:rPr>
            </w:pPr>
            <w:r w:rsidRPr="00E331FB">
              <w:rPr>
                <w:color w:val="0000FF"/>
              </w:rPr>
              <w:t>where:</w:t>
            </w:r>
          </w:p>
          <w:p w:rsidR="00EF4EC1" w:rsidRPr="00E331FB" w:rsidRDefault="00EF4EC1" w:rsidP="00EF4EC1">
            <w:pPr>
              <w:pStyle w:val="Slide4"/>
              <w:tabs>
                <w:tab w:val="right" w:pos="1588"/>
              </w:tabs>
              <w:rPr>
                <w:color w:val="0000FF"/>
              </w:rPr>
            </w:pPr>
            <w:r w:rsidRPr="00E331FB">
              <w:rPr>
                <w:color w:val="0000FF"/>
              </w:rPr>
              <w:t>r</w:t>
            </w:r>
            <w:r w:rsidRPr="00E331FB">
              <w:rPr>
                <w:color w:val="0000FF"/>
              </w:rPr>
              <w:tab/>
              <w:t>=</w:t>
            </w:r>
            <w:r w:rsidRPr="00E331FB">
              <w:rPr>
                <w:color w:val="0000FF"/>
              </w:rPr>
              <w:tab/>
              <w:t>local council rate per bin</w:t>
            </w:r>
          </w:p>
          <w:p w:rsidR="00EF4EC1" w:rsidRPr="00E331FB" w:rsidRDefault="00EF4EC1" w:rsidP="00EF4EC1">
            <w:pPr>
              <w:pStyle w:val="Slide4"/>
              <w:tabs>
                <w:tab w:val="right" w:pos="1588"/>
              </w:tabs>
              <w:rPr>
                <w:color w:val="0000FF"/>
              </w:rPr>
            </w:pPr>
            <w:r w:rsidRPr="00E331FB">
              <w:rPr>
                <w:color w:val="0000FF"/>
              </w:rPr>
              <w:t>n</w:t>
            </w:r>
            <w:r w:rsidRPr="00E331FB">
              <w:rPr>
                <w:color w:val="0000FF"/>
              </w:rPr>
              <w:tab/>
              <w:t>=</w:t>
            </w:r>
            <w:r w:rsidRPr="00E331FB">
              <w:rPr>
                <w:color w:val="0000FF"/>
              </w:rPr>
              <w:tab/>
              <w:t>number of bins emptied during the month</w:t>
            </w:r>
          </w:p>
        </w:tc>
      </w:tr>
      <w:tr w:rsidR="00EF4EC1" w:rsidRPr="00E331FB" w:rsidTr="00EF4EC1">
        <w:tc>
          <w:tcPr>
            <w:tcW w:w="8505" w:type="dxa"/>
            <w:shd w:val="clear" w:color="auto" w:fill="FFFFFF"/>
          </w:tcPr>
          <w:p w:rsidR="00EF4EC1" w:rsidRPr="00E331FB" w:rsidRDefault="00EF4EC1" w:rsidP="00EF4EC1">
            <w:pPr>
              <w:pStyle w:val="Slide2"/>
              <w:rPr>
                <w:i/>
                <w:color w:val="0000FF"/>
              </w:rPr>
            </w:pPr>
            <w:r w:rsidRPr="00E331FB">
              <w:rPr>
                <w:i/>
                <w:color w:val="0000FF"/>
              </w:rPr>
              <w:t>We start with monthly fee (m) =</w:t>
            </w:r>
            <w:r>
              <w:rPr>
                <w:i/>
                <w:color w:val="0000FF"/>
              </w:rPr>
              <w:t xml:space="preserve"> </w:t>
            </w:r>
            <w:r w:rsidRPr="00E331FB">
              <w:rPr>
                <w:i/>
                <w:color w:val="0000FF"/>
              </w:rPr>
              <w:t>greater of a and b</w:t>
            </w:r>
          </w:p>
          <w:p w:rsidR="00EF4EC1" w:rsidRPr="00E331FB" w:rsidRDefault="00EF4EC1" w:rsidP="00EF4EC1">
            <w:pPr>
              <w:pStyle w:val="Slide2"/>
              <w:tabs>
                <w:tab w:val="left" w:pos="1417"/>
                <w:tab w:val="left" w:pos="1984"/>
              </w:tabs>
              <w:ind w:left="425" w:hanging="425"/>
              <w:rPr>
                <w:color w:val="0000FF"/>
              </w:rPr>
            </w:pPr>
            <w:r w:rsidRPr="00E331FB">
              <w:rPr>
                <w:i/>
                <w:color w:val="0000FF"/>
              </w:rPr>
              <w:t>So</w:t>
            </w:r>
            <w:r w:rsidRPr="00E331FB">
              <w:rPr>
                <w:i/>
                <w:color w:val="0000FF"/>
              </w:rPr>
              <w:tab/>
            </w:r>
            <w:r w:rsidRPr="00E331FB">
              <w:rPr>
                <w:color w:val="0000FF"/>
              </w:rPr>
              <w:t>if a</w:t>
            </w:r>
            <w:r>
              <w:rPr>
                <w:color w:val="0000FF"/>
              </w:rPr>
              <w:t xml:space="preserve"> </w:t>
            </w:r>
            <w:r w:rsidRPr="00E331FB">
              <w:rPr>
                <w:color w:val="0000FF"/>
              </w:rPr>
              <w:t>≥</w:t>
            </w:r>
            <w:r>
              <w:rPr>
                <w:color w:val="0000FF"/>
              </w:rPr>
              <w:t xml:space="preserve"> </w:t>
            </w:r>
            <w:r w:rsidRPr="00E331FB">
              <w:rPr>
                <w:color w:val="0000FF"/>
              </w:rPr>
              <w:t xml:space="preserve">b </w:t>
            </w:r>
            <w:r w:rsidRPr="00E331FB">
              <w:rPr>
                <w:color w:val="0000FF"/>
              </w:rPr>
              <w:tab/>
              <w:t>then</w:t>
            </w:r>
            <w:r w:rsidRPr="00E331FB">
              <w:rPr>
                <w:color w:val="0000FF"/>
              </w:rPr>
              <w:tab/>
            </w:r>
            <w:r w:rsidRPr="00C91EFA">
              <w:rPr>
                <w:color w:val="FF0000"/>
              </w:rPr>
              <w:t>m</w:t>
            </w:r>
            <w:r>
              <w:rPr>
                <w:color w:val="FF0000"/>
              </w:rPr>
              <w:t xml:space="preserve"> </w:t>
            </w:r>
            <w:r w:rsidRPr="00C91EFA">
              <w:rPr>
                <w:color w:val="FF0000"/>
              </w:rPr>
              <w:t>=</w:t>
            </w:r>
            <w:r>
              <w:rPr>
                <w:color w:val="FF0000"/>
              </w:rPr>
              <w:t xml:space="preserve"> </w:t>
            </w:r>
            <w:r w:rsidRPr="00C91EFA">
              <w:rPr>
                <w:color w:val="FF0000"/>
              </w:rPr>
              <w:t>a</w:t>
            </w:r>
          </w:p>
          <w:p w:rsidR="00EF4EC1" w:rsidRPr="00E331FB" w:rsidRDefault="00EF4EC1" w:rsidP="00EF4EC1">
            <w:pPr>
              <w:pStyle w:val="Slide2"/>
              <w:tabs>
                <w:tab w:val="left" w:pos="425"/>
                <w:tab w:val="left" w:pos="1418"/>
                <w:tab w:val="left" w:pos="1984"/>
                <w:tab w:val="left" w:pos="2977"/>
              </w:tabs>
              <w:ind w:left="2977" w:hanging="2977"/>
              <w:rPr>
                <w:i/>
                <w:color w:val="0000FF"/>
              </w:rPr>
            </w:pPr>
            <w:r w:rsidRPr="00E331FB">
              <w:rPr>
                <w:i/>
                <w:color w:val="0000FF"/>
              </w:rPr>
              <w:tab/>
            </w:r>
            <w:r w:rsidRPr="00E331FB">
              <w:rPr>
                <w:color w:val="0000FF"/>
              </w:rPr>
              <w:t>if a</w:t>
            </w:r>
            <w:r>
              <w:rPr>
                <w:color w:val="0000FF"/>
              </w:rPr>
              <w:t xml:space="preserve"> </w:t>
            </w:r>
            <w:r w:rsidRPr="00E331FB">
              <w:rPr>
                <w:color w:val="0000FF"/>
              </w:rPr>
              <w:t>&lt;</w:t>
            </w:r>
            <w:r>
              <w:rPr>
                <w:color w:val="0000FF"/>
              </w:rPr>
              <w:t xml:space="preserve"> </w:t>
            </w:r>
            <w:r w:rsidRPr="00E331FB">
              <w:rPr>
                <w:color w:val="0000FF"/>
              </w:rPr>
              <w:t>b</w:t>
            </w:r>
            <w:r w:rsidRPr="00E331FB">
              <w:rPr>
                <w:color w:val="0000FF"/>
              </w:rPr>
              <w:tab/>
              <w:t xml:space="preserve">then </w:t>
            </w:r>
            <w:r w:rsidRPr="00E331FB">
              <w:rPr>
                <w:color w:val="0000FF"/>
              </w:rPr>
              <w:tab/>
              <w:t>m</w:t>
            </w:r>
            <w:r>
              <w:rPr>
                <w:color w:val="0000FF"/>
              </w:rPr>
              <w:t xml:space="preserve"> </w:t>
            </w:r>
            <w:r w:rsidRPr="00E331FB">
              <w:rPr>
                <w:color w:val="0000FF"/>
              </w:rPr>
              <w:t>=</w:t>
            </w:r>
            <w:r>
              <w:rPr>
                <w:color w:val="0000FF"/>
              </w:rPr>
              <w:t xml:space="preserve"> </w:t>
            </w:r>
            <w:r w:rsidRPr="00E331FB">
              <w:rPr>
                <w:color w:val="0000FF"/>
              </w:rPr>
              <w:t xml:space="preserve">b </w:t>
            </w:r>
            <w:r w:rsidRPr="00E331FB">
              <w:rPr>
                <w:i/>
                <w:color w:val="0000FF"/>
              </w:rPr>
              <w:tab/>
              <w:t>and as b is greater than a, this can also be written as</w:t>
            </w:r>
            <w:r w:rsidRPr="00E331FB">
              <w:rPr>
                <w:i/>
                <w:color w:val="0000FF"/>
              </w:rPr>
              <w:br/>
            </w:r>
            <w:r w:rsidRPr="00C91EFA">
              <w:rPr>
                <w:color w:val="FF0000"/>
              </w:rPr>
              <w:t>m</w:t>
            </w:r>
            <w:r>
              <w:rPr>
                <w:color w:val="FF0000"/>
              </w:rPr>
              <w:t xml:space="preserve"> </w:t>
            </w:r>
            <w:r w:rsidRPr="00C91EFA">
              <w:rPr>
                <w:color w:val="FF0000"/>
              </w:rPr>
              <w:t>=</w:t>
            </w:r>
            <w:r>
              <w:rPr>
                <w:color w:val="FF0000"/>
              </w:rPr>
              <w:t xml:space="preserve"> </w:t>
            </w:r>
            <w:r w:rsidRPr="00C91EFA">
              <w:rPr>
                <w:color w:val="FF0000"/>
              </w:rPr>
              <w:t xml:space="preserve">a + (b </w:t>
            </w:r>
            <w:r>
              <w:rPr>
                <w:color w:val="FF0000"/>
              </w:rPr>
              <w:noBreakHyphen/>
            </w:r>
            <w:r w:rsidRPr="00C91EFA">
              <w:rPr>
                <w:color w:val="FF0000"/>
              </w:rPr>
              <w:t xml:space="preserve"> a)</w:t>
            </w:r>
            <w:r>
              <w:rPr>
                <w:color w:val="FF0000"/>
              </w:rPr>
              <w:t xml:space="preserve"> </w:t>
            </w:r>
            <w:r w:rsidRPr="00E331FB">
              <w:rPr>
                <w:i/>
                <w:color w:val="0000FF"/>
              </w:rPr>
              <w:t>(</w:t>
            </w:r>
            <w:r>
              <w:rPr>
                <w:i/>
                <w:color w:val="0000FF"/>
              </w:rPr>
              <w:t xml:space="preserve">which is </w:t>
            </w:r>
            <w:r w:rsidRPr="00E331FB">
              <w:rPr>
                <w:i/>
                <w:color w:val="0000FF"/>
              </w:rPr>
              <w:t xml:space="preserve">a + </w:t>
            </w:r>
            <w:r>
              <w:rPr>
                <w:i/>
                <w:color w:val="0000FF"/>
              </w:rPr>
              <w:t xml:space="preserve">the </w:t>
            </w:r>
            <w:r w:rsidRPr="00E331FB">
              <w:rPr>
                <w:i/>
                <w:color w:val="0000FF"/>
              </w:rPr>
              <w:t>amount by which b exceeds a)</w:t>
            </w:r>
          </w:p>
          <w:p w:rsidR="00EF4EC1" w:rsidRPr="00E331FB" w:rsidRDefault="00EF4EC1" w:rsidP="00EF4EC1">
            <w:pPr>
              <w:pStyle w:val="Slide2"/>
              <w:rPr>
                <w:i/>
                <w:color w:val="0000FF"/>
              </w:rPr>
            </w:pPr>
            <w:r>
              <w:rPr>
                <w:i/>
                <w:color w:val="0000FF"/>
              </w:rPr>
              <w:t>The red</w:t>
            </w:r>
            <w:r w:rsidRPr="00E331FB">
              <w:rPr>
                <w:i/>
                <w:color w:val="0000FF"/>
              </w:rPr>
              <w:t xml:space="preserve"> equations show that:</w:t>
            </w:r>
          </w:p>
          <w:p w:rsidR="00EF4EC1" w:rsidRPr="00E331FB" w:rsidRDefault="00EF4EC1" w:rsidP="00EF4EC1">
            <w:pPr>
              <w:pStyle w:val="Slide2"/>
              <w:rPr>
                <w:i/>
                <w:color w:val="0000FF"/>
              </w:rPr>
            </w:pPr>
            <w:r w:rsidRPr="00E331FB">
              <w:rPr>
                <w:i/>
                <w:color w:val="0000FF"/>
              </w:rPr>
              <w:tab/>
              <w:t>m is always at least a, and</w:t>
            </w:r>
          </w:p>
          <w:p w:rsidR="00EF4EC1" w:rsidRPr="00E331FB" w:rsidRDefault="00EF4EC1" w:rsidP="00EF4EC1">
            <w:pPr>
              <w:pStyle w:val="Slide2"/>
              <w:rPr>
                <w:i/>
                <w:color w:val="0000FF"/>
              </w:rPr>
            </w:pPr>
            <w:r w:rsidRPr="00E331FB">
              <w:rPr>
                <w:i/>
                <w:color w:val="0000FF"/>
              </w:rPr>
              <w:tab/>
              <w:t xml:space="preserve">when b is greater than a, m is a plus the extra bit of (b </w:t>
            </w:r>
            <w:r>
              <w:rPr>
                <w:i/>
                <w:color w:val="0000FF"/>
              </w:rPr>
              <w:noBreakHyphen/>
            </w:r>
            <w:r w:rsidRPr="00E331FB">
              <w:rPr>
                <w:i/>
                <w:color w:val="0000FF"/>
              </w:rPr>
              <w:t xml:space="preserve"> a)</w:t>
            </w:r>
          </w:p>
          <w:p w:rsidR="00EF4EC1" w:rsidRPr="00E331FB" w:rsidRDefault="00EF4EC1" w:rsidP="00EF4EC1">
            <w:pPr>
              <w:pStyle w:val="Slide2"/>
              <w:rPr>
                <w:i/>
                <w:color w:val="0000FF"/>
              </w:rPr>
            </w:pPr>
            <w:r w:rsidRPr="00E331FB">
              <w:rPr>
                <w:i/>
                <w:color w:val="0000FF"/>
              </w:rPr>
              <w:t>So the formula becomes:</w:t>
            </w:r>
          </w:p>
          <w:p w:rsidR="00EF4EC1" w:rsidRPr="00E331FB" w:rsidRDefault="00EF4EC1" w:rsidP="00EF4EC1">
            <w:pPr>
              <w:pStyle w:val="SlideEquation"/>
              <w:rPr>
                <w:color w:val="0000FF"/>
                <w:oMath/>
              </w:rPr>
            </w:pPr>
            <m:oMathPara>
              <m:oMathParaPr>
                <m:jc m:val="left"/>
              </m:oMathParaPr>
              <m:oMath>
                <m:r>
                  <m:rPr>
                    <m:nor/>
                  </m:rPr>
                  <w:rPr>
                    <w:color w:val="0000FF"/>
                  </w:rPr>
                  <m:t>m</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a</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color w:val="0000FF"/>
                      </w:rPr>
                    </m:ctrlPr>
                  </m:dPr>
                  <m:e>
                    <m:r>
                      <m:rPr>
                        <m:nor/>
                      </m:rPr>
                      <w:rPr>
                        <w:rFonts w:ascii="Cambria Math"/>
                        <w:color w:val="FF0000"/>
                      </w:rPr>
                      <m:t xml:space="preserve"> </m:t>
                    </m:r>
                    <m:r>
                      <m:rPr>
                        <m:nor/>
                      </m:rPr>
                      <w:rPr>
                        <w:color w:val="FF0000"/>
                      </w:rPr>
                      <m:t>k</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color w:val="0000FF"/>
                          </w:rPr>
                        </m:ctrlPr>
                      </m:dPr>
                      <m:e>
                        <m:r>
                          <m:rPr>
                            <m:nor/>
                          </m:rPr>
                          <w:rPr>
                            <w:color w:val="0000FF"/>
                          </w:rPr>
                          <m:t>b</m:t>
                        </m:r>
                        <m:r>
                          <m:rPr>
                            <m:sty m:val="p"/>
                          </m:rPr>
                          <w:rPr>
                            <w:rFonts w:ascii="Cambria Math" w:hAnsi="Cambria Math"/>
                            <w:color w:val="0000FF"/>
                          </w:rPr>
                          <m:t>-</m:t>
                        </m:r>
                        <m:r>
                          <m:rPr>
                            <m:nor/>
                          </m:rPr>
                          <w:rPr>
                            <w:color w:val="0000FF"/>
                          </w:rPr>
                          <m:t>a</m:t>
                        </m:r>
                      </m:e>
                    </m:d>
                    <m:r>
                      <w:rPr>
                        <w:rFonts w:ascii="Cambria Math" w:hAnsi="Cambria Math"/>
                        <w:color w:val="0000FF"/>
                      </w:rPr>
                      <m:t xml:space="preserve"> </m:t>
                    </m:r>
                  </m:e>
                </m:d>
              </m:oMath>
            </m:oMathPara>
          </w:p>
          <w:p w:rsidR="00EF4EC1" w:rsidRPr="00E331FB" w:rsidRDefault="00EF4EC1" w:rsidP="00EF4EC1">
            <w:pPr>
              <w:pStyle w:val="Slide2"/>
              <w:ind w:left="0" w:firstLine="0"/>
              <w:rPr>
                <w:i/>
                <w:color w:val="0000FF"/>
              </w:rPr>
            </w:pPr>
            <w:r w:rsidRPr="00E331FB">
              <w:rPr>
                <w:i/>
                <w:color w:val="0000FF"/>
              </w:rPr>
              <w:t>with k being the step constant that causes the (b</w:t>
            </w:r>
            <w:r>
              <w:rPr>
                <w:i/>
                <w:color w:val="0000FF"/>
              </w:rPr>
              <w:t xml:space="preserve"> </w:t>
            </w:r>
            <w:r>
              <w:rPr>
                <w:i/>
                <w:color w:val="0000FF"/>
              </w:rPr>
              <w:noBreakHyphen/>
              <w:t xml:space="preserve"> </w:t>
            </w:r>
            <w:r w:rsidRPr="00E331FB">
              <w:rPr>
                <w:i/>
                <w:color w:val="0000FF"/>
              </w:rPr>
              <w:t>a) component to appear or disappear.</w:t>
            </w:r>
          </w:p>
          <w:p w:rsidR="00EF4EC1" w:rsidRPr="00E331FB" w:rsidRDefault="00EF4EC1" w:rsidP="00EF4EC1">
            <w:pPr>
              <w:pStyle w:val="Slide2"/>
              <w:rPr>
                <w:i/>
                <w:color w:val="0000FF"/>
              </w:rPr>
            </w:pPr>
            <w:r w:rsidRPr="00E331FB">
              <w:rPr>
                <w:i/>
                <w:color w:val="0000FF"/>
              </w:rPr>
              <w:t>If a</w:t>
            </w:r>
            <w:r>
              <w:rPr>
                <w:i/>
                <w:color w:val="0000FF"/>
              </w:rPr>
              <w:t xml:space="preserve"> </w:t>
            </w:r>
            <w:r w:rsidRPr="00E331FB">
              <w:rPr>
                <w:i/>
                <w:color w:val="0000FF"/>
              </w:rPr>
              <w:t>≥</w:t>
            </w:r>
            <w:r>
              <w:rPr>
                <w:i/>
                <w:color w:val="0000FF"/>
              </w:rPr>
              <w:t xml:space="preserve"> </w:t>
            </w:r>
            <w:r w:rsidRPr="00E331FB">
              <w:rPr>
                <w:i/>
                <w:color w:val="0000FF"/>
              </w:rPr>
              <w:t>b, we want (b</w:t>
            </w:r>
            <w:r>
              <w:rPr>
                <w:i/>
                <w:color w:val="0000FF"/>
              </w:rPr>
              <w:t xml:space="preserve"> </w:t>
            </w:r>
            <w:r>
              <w:rPr>
                <w:i/>
                <w:color w:val="0000FF"/>
              </w:rPr>
              <w:noBreakHyphen/>
              <w:t xml:space="preserve"> </w:t>
            </w:r>
            <w:r w:rsidRPr="00E331FB">
              <w:rPr>
                <w:i/>
                <w:color w:val="0000FF"/>
              </w:rPr>
              <w:t xml:space="preserve">a) to disappear, so we make </w:t>
            </w:r>
            <w:r>
              <w:rPr>
                <w:i/>
                <w:color w:val="0000FF"/>
              </w:rPr>
              <w:t xml:space="preserve">k </w:t>
            </w:r>
            <w:r w:rsidRPr="00E331FB">
              <w:rPr>
                <w:i/>
                <w:color w:val="0000FF"/>
              </w:rPr>
              <w:t>=</w:t>
            </w:r>
            <w:r>
              <w:rPr>
                <w:i/>
                <w:color w:val="0000FF"/>
              </w:rPr>
              <w:t xml:space="preserve"> </w:t>
            </w:r>
            <w:r w:rsidRPr="00E331FB">
              <w:rPr>
                <w:i/>
                <w:color w:val="0000FF"/>
              </w:rPr>
              <w:t xml:space="preserve">0, then </w:t>
            </w:r>
            <w:r w:rsidRPr="00C91EFA">
              <w:rPr>
                <w:color w:val="FF0000"/>
              </w:rPr>
              <w:t>m</w:t>
            </w:r>
            <w:r>
              <w:rPr>
                <w:color w:val="FF0000"/>
              </w:rPr>
              <w:t xml:space="preserve"> </w:t>
            </w:r>
            <w:r w:rsidRPr="00C91EFA">
              <w:rPr>
                <w:color w:val="FF0000"/>
              </w:rPr>
              <w:t>=</w:t>
            </w:r>
            <w:r>
              <w:rPr>
                <w:color w:val="FF0000"/>
              </w:rPr>
              <w:t xml:space="preserve"> </w:t>
            </w:r>
            <w:r w:rsidRPr="00C91EFA">
              <w:rPr>
                <w:color w:val="FF0000"/>
              </w:rPr>
              <w:t>a</w:t>
            </w:r>
          </w:p>
          <w:p w:rsidR="00EF4EC1" w:rsidRDefault="00EF4EC1" w:rsidP="00EF4EC1">
            <w:pPr>
              <w:pStyle w:val="Slide2"/>
              <w:rPr>
                <w:color w:val="FF0000"/>
              </w:rPr>
            </w:pPr>
            <w:r w:rsidRPr="00E331FB">
              <w:rPr>
                <w:i/>
                <w:color w:val="0000FF"/>
              </w:rPr>
              <w:t>If a</w:t>
            </w:r>
            <w:r>
              <w:rPr>
                <w:i/>
                <w:color w:val="0000FF"/>
              </w:rPr>
              <w:t xml:space="preserve"> </w:t>
            </w:r>
            <w:r w:rsidRPr="00E331FB">
              <w:rPr>
                <w:i/>
                <w:color w:val="0000FF"/>
              </w:rPr>
              <w:t>&lt;</w:t>
            </w:r>
            <w:r>
              <w:rPr>
                <w:i/>
                <w:color w:val="0000FF"/>
              </w:rPr>
              <w:t xml:space="preserve"> </w:t>
            </w:r>
            <w:r w:rsidRPr="00E331FB">
              <w:rPr>
                <w:i/>
                <w:color w:val="0000FF"/>
              </w:rPr>
              <w:t>b, we want (b</w:t>
            </w:r>
            <w:r>
              <w:rPr>
                <w:i/>
                <w:color w:val="0000FF"/>
              </w:rPr>
              <w:t xml:space="preserve"> </w:t>
            </w:r>
            <w:r>
              <w:rPr>
                <w:i/>
                <w:color w:val="0000FF"/>
              </w:rPr>
              <w:noBreakHyphen/>
              <w:t xml:space="preserve"> </w:t>
            </w:r>
            <w:r w:rsidRPr="00E331FB">
              <w:rPr>
                <w:i/>
                <w:color w:val="0000FF"/>
              </w:rPr>
              <w:t xml:space="preserve">a) to appear, so we make </w:t>
            </w:r>
            <w:r>
              <w:rPr>
                <w:i/>
                <w:color w:val="0000FF"/>
              </w:rPr>
              <w:t xml:space="preserve">k </w:t>
            </w:r>
            <w:r w:rsidRPr="00E331FB">
              <w:rPr>
                <w:i/>
                <w:color w:val="0000FF"/>
              </w:rPr>
              <w:t>=</w:t>
            </w:r>
            <w:r>
              <w:rPr>
                <w:i/>
                <w:color w:val="0000FF"/>
              </w:rPr>
              <w:t xml:space="preserve"> </w:t>
            </w:r>
            <w:r w:rsidRPr="00E331FB">
              <w:rPr>
                <w:i/>
                <w:color w:val="0000FF"/>
              </w:rPr>
              <w:t xml:space="preserve">1, then </w:t>
            </w:r>
            <w:r w:rsidRPr="00C91EFA">
              <w:rPr>
                <w:color w:val="FF0000"/>
              </w:rPr>
              <w:t>m</w:t>
            </w:r>
            <w:r>
              <w:rPr>
                <w:color w:val="FF0000"/>
              </w:rPr>
              <w:t xml:space="preserve"> </w:t>
            </w:r>
            <w:r w:rsidRPr="00C91EFA">
              <w:rPr>
                <w:color w:val="FF0000"/>
              </w:rPr>
              <w:t>=</w:t>
            </w:r>
            <w:r>
              <w:rPr>
                <w:color w:val="FF0000"/>
              </w:rPr>
              <w:t xml:space="preserve"> </w:t>
            </w:r>
            <w:r w:rsidRPr="00C91EFA">
              <w:rPr>
                <w:color w:val="FF0000"/>
              </w:rPr>
              <w:t>a</w:t>
            </w:r>
            <w:r>
              <w:rPr>
                <w:color w:val="FF0000"/>
              </w:rPr>
              <w:t xml:space="preserve"> </w:t>
            </w:r>
            <w:r w:rsidRPr="00C91EFA">
              <w:rPr>
                <w:color w:val="FF0000"/>
              </w:rPr>
              <w:t>+ (b</w:t>
            </w:r>
            <w:r>
              <w:rPr>
                <w:color w:val="FF0000"/>
              </w:rPr>
              <w:t xml:space="preserve"> </w:t>
            </w:r>
            <w:r>
              <w:rPr>
                <w:color w:val="FF0000"/>
              </w:rPr>
              <w:noBreakHyphen/>
              <w:t xml:space="preserve"> </w:t>
            </w:r>
            <w:r w:rsidRPr="00C91EFA">
              <w:rPr>
                <w:color w:val="FF0000"/>
              </w:rPr>
              <w:t>a)</w:t>
            </w:r>
          </w:p>
          <w:p w:rsidR="00EF4EC1" w:rsidRPr="00E331FB" w:rsidRDefault="00EF4EC1" w:rsidP="00EF4EC1">
            <w:pPr>
              <w:pStyle w:val="Slide2"/>
              <w:ind w:left="0" w:firstLine="0"/>
              <w:rPr>
                <w:i/>
                <w:color w:val="0000FF"/>
              </w:rPr>
            </w:pPr>
            <w:r w:rsidRPr="00E331FB">
              <w:rPr>
                <w:i/>
                <w:color w:val="0000FF"/>
              </w:rPr>
              <w:t xml:space="preserve">So </w:t>
            </w:r>
            <w:r>
              <w:rPr>
                <w:i/>
                <w:color w:val="0000FF"/>
              </w:rPr>
              <w:t xml:space="preserve">by </w:t>
            </w:r>
            <w:r w:rsidRPr="00E331FB">
              <w:rPr>
                <w:i/>
                <w:color w:val="0000FF"/>
              </w:rPr>
              <w:t>putting in the values from the beginning (a</w:t>
            </w:r>
            <w:r>
              <w:rPr>
                <w:i/>
                <w:color w:val="0000FF"/>
              </w:rPr>
              <w:t xml:space="preserve"> </w:t>
            </w:r>
            <w:r w:rsidRPr="00E331FB">
              <w:rPr>
                <w:i/>
                <w:color w:val="0000FF"/>
              </w:rPr>
              <w:t>=</w:t>
            </w:r>
            <w:r>
              <w:rPr>
                <w:i/>
                <w:color w:val="0000FF"/>
              </w:rPr>
              <w:t xml:space="preserve"> </w:t>
            </w:r>
            <w:r w:rsidRPr="00E331FB">
              <w:rPr>
                <w:i/>
                <w:color w:val="0000FF"/>
              </w:rPr>
              <w:t>$10, b</w:t>
            </w:r>
            <w:r>
              <w:rPr>
                <w:i/>
                <w:color w:val="0000FF"/>
              </w:rPr>
              <w:t xml:space="preserve"> </w:t>
            </w:r>
            <w:r w:rsidRPr="00E331FB">
              <w:rPr>
                <w:i/>
                <w:color w:val="0000FF"/>
              </w:rPr>
              <w:t>=</w:t>
            </w:r>
            <w:r>
              <w:rPr>
                <w:i/>
                <w:color w:val="0000FF"/>
              </w:rPr>
              <w:t xml:space="preserve"> r </w:t>
            </w:r>
            <w:r w:rsidRPr="00693A25">
              <w:rPr>
                <w:color w:val="0000FF"/>
              </w:rPr>
              <w:t>x</w:t>
            </w:r>
            <w:r>
              <w:rPr>
                <w:i/>
                <w:color w:val="0000FF"/>
              </w:rPr>
              <w:t xml:space="preserve"> n</w:t>
            </w:r>
            <w:r w:rsidRPr="00E331FB">
              <w:rPr>
                <w:i/>
                <w:color w:val="0000FF"/>
              </w:rPr>
              <w:t xml:space="preserve">) </w:t>
            </w:r>
            <w:r w:rsidRPr="00E331FB">
              <w:rPr>
                <w:i/>
                <w:color w:val="0000FF"/>
              </w:rPr>
              <w:br/>
              <w:t>the formula becomes:</w:t>
            </w:r>
          </w:p>
          <w:p w:rsidR="00EF4EC1" w:rsidRPr="00E331FB" w:rsidRDefault="00EF4EC1" w:rsidP="00EF4EC1">
            <w:pPr>
              <w:pStyle w:val="SlideEquation"/>
              <w:rPr>
                <w:color w:val="0000FF"/>
                <w:oMath/>
              </w:rPr>
            </w:pPr>
            <m:oMathPara>
              <m:oMathParaPr>
                <m:jc m:val="left"/>
              </m:oMathParaPr>
              <m:oMath>
                <m:r>
                  <m:rPr>
                    <m:nor/>
                  </m:rPr>
                  <w:rPr>
                    <w:color w:val="0000FF"/>
                  </w:rPr>
                  <m:t>m</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10</m:t>
                </m:r>
                <m:r>
                  <m:rPr>
                    <m:nor/>
                  </m:rPr>
                  <w:rPr>
                    <w:rFonts w:ascii="Cambria Math"/>
                    <w:color w:val="0000FF"/>
                  </w:rPr>
                  <m:t xml:space="preserve"> </m:t>
                </m:r>
                <m:r>
                  <m:rPr>
                    <m:nor/>
                  </m:rPr>
                  <w:rPr>
                    <w:rFonts w:ascii="Cambria Math" w:hAnsi="Cambria Math"/>
                    <w:color w:val="0000FF"/>
                  </w:rPr>
                  <m:t>+</m:t>
                </m:r>
                <m:r>
                  <m:rPr>
                    <m:nor/>
                  </m:rPr>
                  <w:rPr>
                    <w:color w:val="0000FF"/>
                  </w:rPr>
                  <m:t xml:space="preserve"> </m:t>
                </m:r>
                <m:r>
                  <m:rPr>
                    <m:nor/>
                  </m:rPr>
                  <w:rPr>
                    <w:rFonts w:ascii="Cambria Math"/>
                    <w:color w:val="0000FF"/>
                  </w:rPr>
                  <m:t xml:space="preserve"> </m:t>
                </m:r>
                <m:d>
                  <m:dPr>
                    <m:begChr m:val="{"/>
                    <m:endChr m:val="}"/>
                    <m:ctrlPr>
                      <w:rPr>
                        <w:rFonts w:ascii="Cambria Math" w:hAnsi="Cambria Math"/>
                        <w:i/>
                        <w:color w:val="0000FF"/>
                      </w:rPr>
                    </m:ctrlPr>
                  </m:dPr>
                  <m:e>
                    <m:r>
                      <m:rPr>
                        <m:nor/>
                      </m:rPr>
                      <w:rPr>
                        <w:rFonts w:ascii="Cambria Math"/>
                        <w:color w:val="0000FF"/>
                      </w:rPr>
                      <m:t xml:space="preserve"> </m:t>
                    </m:r>
                    <m:r>
                      <m:rPr>
                        <m:nor/>
                      </m:rPr>
                      <w:rPr>
                        <w:color w:val="0000FF"/>
                      </w:rPr>
                      <m:t>k</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begChr m:val="["/>
                        <m:endChr m:val="]"/>
                        <m:ctrlPr>
                          <w:rPr>
                            <w:rFonts w:ascii="Cambria Math" w:hAnsi="Cambria Math"/>
                            <w:i/>
                            <w:color w:val="0000FF"/>
                          </w:rPr>
                        </m:ctrlPr>
                      </m:dPr>
                      <m:e>
                        <m:r>
                          <w:rPr>
                            <w:rFonts w:ascii="Cambria Math" w:hAnsi="Cambria Math"/>
                            <w:color w:val="0000FF"/>
                          </w:rPr>
                          <m:t xml:space="preserve"> </m:t>
                        </m:r>
                        <m:d>
                          <m:dPr>
                            <m:ctrlPr>
                              <w:rPr>
                                <w:rFonts w:ascii="Cambria Math" w:hAnsi="Cambria Math"/>
                                <w:color w:val="0000FF"/>
                              </w:rPr>
                            </m:ctrlPr>
                          </m:dPr>
                          <m:e>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n</m:t>
                            </m:r>
                          </m:e>
                        </m:d>
                        <m:r>
                          <m:rPr>
                            <m:sty m:val="p"/>
                          </m:rPr>
                          <w:rPr>
                            <w:rFonts w:ascii="Cambria Math" w:hAnsi="Cambria Math"/>
                            <w:color w:val="0000FF"/>
                          </w:rPr>
                          <m:t>-</m:t>
                        </m:r>
                        <m:r>
                          <m:rPr>
                            <m:nor/>
                          </m:rPr>
                          <w:rPr>
                            <w:color w:val="0000FF"/>
                          </w:rPr>
                          <m:t>10</m:t>
                        </m:r>
                      </m:e>
                    </m:d>
                    <m:r>
                      <w:rPr>
                        <w:rFonts w:ascii="Cambria Math" w:hAnsi="Cambria Math"/>
                        <w:color w:val="0000FF"/>
                      </w:rPr>
                      <m:t xml:space="preserve"> </m:t>
                    </m:r>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m</w:t>
            </w:r>
            <w:r w:rsidRPr="00E331FB">
              <w:rPr>
                <w:color w:val="0000FF"/>
              </w:rPr>
              <w:tab/>
              <w:t>=</w:t>
            </w:r>
            <w:r w:rsidRPr="00E331FB">
              <w:rPr>
                <w:color w:val="0000FF"/>
              </w:rPr>
              <w:tab/>
              <w:t>monthly fee</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local council rate per bin</w:t>
            </w:r>
          </w:p>
          <w:p w:rsidR="00EF4EC1" w:rsidRPr="00E331FB" w:rsidRDefault="00EF4EC1" w:rsidP="00EF4EC1">
            <w:pPr>
              <w:pStyle w:val="Slide3"/>
              <w:rPr>
                <w:color w:val="0000FF"/>
              </w:rPr>
            </w:pPr>
            <w:r w:rsidRPr="00E331FB">
              <w:rPr>
                <w:color w:val="0000FF"/>
              </w:rPr>
              <w:t>n</w:t>
            </w:r>
            <w:r w:rsidRPr="00E331FB">
              <w:rPr>
                <w:color w:val="0000FF"/>
              </w:rPr>
              <w:tab/>
              <w:t>=</w:t>
            </w:r>
            <w:r w:rsidRPr="00E331FB">
              <w:rPr>
                <w:color w:val="0000FF"/>
              </w:rPr>
              <w:tab/>
              <w:t>number of bins emptied during the month</w:t>
            </w:r>
          </w:p>
          <w:p w:rsidR="00EF4EC1" w:rsidRDefault="00EF4EC1" w:rsidP="00EF4EC1">
            <w:pPr>
              <w:pStyle w:val="Slide3"/>
              <w:rPr>
                <w:color w:val="0000FF"/>
              </w:rPr>
            </w:pPr>
            <w:r w:rsidRPr="00E331FB">
              <w:rPr>
                <w:color w:val="0000FF"/>
              </w:rPr>
              <w:lastRenderedPageBreak/>
              <w:t>k</w:t>
            </w:r>
            <w:r w:rsidRPr="00E331FB">
              <w:rPr>
                <w:color w:val="0000FF"/>
              </w:rPr>
              <w:tab/>
              <w:t>=</w:t>
            </w:r>
            <w:r w:rsidRPr="00E331FB">
              <w:rPr>
                <w:color w:val="0000FF"/>
              </w:rPr>
              <w:tab/>
              <w:t xml:space="preserve">if </w:t>
            </w:r>
            <m:oMath>
              <m:r>
                <m:rPr>
                  <m:nor/>
                </m:rPr>
                <w:rPr>
                  <w:color w:val="0000FF"/>
                </w:rPr>
                <m:t>10</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n</m:t>
              </m:r>
            </m:oMath>
            <w:r w:rsidRPr="00E331FB">
              <w:rPr>
                <w:color w:val="0000FF"/>
              </w:rPr>
              <w:t xml:space="preserve">, then </w:t>
            </w:r>
            <w:r>
              <w:rPr>
                <w:color w:val="0000FF"/>
              </w:rPr>
              <w:t xml:space="preserve">k </w:t>
            </w:r>
            <w:r w:rsidRPr="00E331FB">
              <w:rPr>
                <w:color w:val="0000FF"/>
              </w:rPr>
              <w:t>=</w:t>
            </w:r>
            <w:r>
              <w:rPr>
                <w:color w:val="0000FF"/>
              </w:rPr>
              <w:t xml:space="preserve"> </w:t>
            </w:r>
            <w:r w:rsidRPr="00E331FB">
              <w:rPr>
                <w:color w:val="0000FF"/>
              </w:rPr>
              <w:t>0</w:t>
            </w:r>
            <w:r>
              <w:rPr>
                <w:color w:val="0000FF"/>
              </w:rPr>
              <w:t xml:space="preserve"> </w:t>
            </w:r>
          </w:p>
          <w:p w:rsidR="00EF4EC1" w:rsidRPr="00E331FB" w:rsidRDefault="00EF4EC1" w:rsidP="00EF4EC1">
            <w:pPr>
              <w:pStyle w:val="Slide3"/>
              <w:rPr>
                <w:i/>
                <w:color w:val="0000FF"/>
              </w:rPr>
            </w:pPr>
            <w:r>
              <w:rPr>
                <w:color w:val="0000FF"/>
              </w:rPr>
              <w:tab/>
            </w:r>
            <w:r>
              <w:rPr>
                <w:color w:val="0000FF"/>
              </w:rPr>
              <w:tab/>
            </w:r>
            <w:r w:rsidRPr="00E331FB">
              <w:rPr>
                <w:color w:val="0000FF"/>
              </w:rPr>
              <w:t xml:space="preserve">if </w:t>
            </w:r>
            <m:oMath>
              <m:r>
                <m:rPr>
                  <m:nor/>
                </m:rPr>
                <w:rPr>
                  <w:color w:val="0000FF"/>
                </w:rPr>
                <m:t>10</m:t>
              </m:r>
              <m:r>
                <m:rPr>
                  <m:nor/>
                </m:rPr>
                <w:rPr>
                  <w:rFonts w:ascii="Cambria Math"/>
                  <w:color w:val="0000FF"/>
                </w:rPr>
                <m:t xml:space="preserve"> </m:t>
              </m:r>
              <m:r>
                <m:rPr>
                  <m:nor/>
                </m:rPr>
                <w:rPr>
                  <w:rFonts w:ascii="Cambria Math" w:hAnsi="Cambria Math"/>
                  <w:color w:val="0000FF"/>
                </w:rPr>
                <m:t xml:space="preserve">&lt; </m:t>
              </m:r>
              <m:r>
                <m:rPr>
                  <m:nor/>
                </m:rPr>
                <w:rPr>
                  <w:color w:val="0000FF"/>
                </w:rPr>
                <m:t>r</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n</m:t>
              </m:r>
            </m:oMath>
            <w:r w:rsidRPr="00E331FB">
              <w:rPr>
                <w:color w:val="0000FF"/>
              </w:rPr>
              <w:t xml:space="preserve">, then </w:t>
            </w:r>
            <w:r>
              <w:rPr>
                <w:color w:val="0000FF"/>
              </w:rPr>
              <w:t xml:space="preserve">k </w:t>
            </w:r>
            <w:r w:rsidRPr="00E331FB">
              <w:rPr>
                <w:color w:val="0000FF"/>
              </w:rPr>
              <w:t>=</w:t>
            </w:r>
            <w:r>
              <w:rPr>
                <w:color w:val="0000FF"/>
              </w:rPr>
              <w:t xml:space="preserve"> </w:t>
            </w:r>
            <w:r w:rsidRPr="00E331FB">
              <w:rPr>
                <w:color w:val="0000FF"/>
              </w:rPr>
              <w:t>1</w:t>
            </w:r>
          </w:p>
        </w:tc>
      </w:tr>
    </w:tbl>
    <w:p w:rsidR="00EF4EC1" w:rsidRPr="007D7133" w:rsidRDefault="00EF4EC1" w:rsidP="00EF4EC1">
      <w:pPr>
        <w:pStyle w:val="Normaltext1"/>
      </w:pPr>
      <w:r w:rsidRPr="007D7133">
        <w:lastRenderedPageBreak/>
        <w:t>Example 39 shows how 2 similar equations for slightly different scenarios can be combined. The complexity of the definition of A may have contributed to the decision to use 2 formulae. However, incorporating the content of that definition into the formula overcomes the need for this.</w:t>
      </w:r>
    </w:p>
    <w:p w:rsidR="00EF4EC1" w:rsidRPr="00616683" w:rsidRDefault="00EF4EC1" w:rsidP="00EF4EC1">
      <w:pPr>
        <w:pStyle w:val="Slidelabel"/>
      </w:pPr>
      <w:bookmarkStart w:id="195" w:name="_Ref475979366"/>
      <w:r w:rsidRPr="00616683">
        <w:t>2 similar equations</w:t>
      </w:r>
      <w:r>
        <w:t xml:space="preserve"> and</w:t>
      </w:r>
      <w:r w:rsidRPr="00616683">
        <w:t xml:space="preserve"> use of step function</w:t>
      </w:r>
      <w:bookmarkEnd w:id="195"/>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E331FB" w:rsidTr="00EF4EC1">
        <w:tc>
          <w:tcPr>
            <w:tcW w:w="8505" w:type="dxa"/>
            <w:shd w:val="clear" w:color="auto" w:fill="FFFFFF"/>
          </w:tcPr>
          <w:p w:rsidR="00EF4EC1" w:rsidRPr="00E331FB" w:rsidRDefault="00EF4EC1" w:rsidP="00EF4EC1">
            <w:pPr>
              <w:pStyle w:val="Slide1"/>
              <w:keepNext w:val="0"/>
              <w:rPr>
                <w:color w:val="0000FF"/>
              </w:rPr>
            </w:pPr>
            <w:bookmarkStart w:id="196" w:name="_Toc196004513"/>
            <w:bookmarkStart w:id="197" w:name="_Toc196018787"/>
            <w:r w:rsidRPr="00E331FB">
              <w:rPr>
                <w:color w:val="0000FF"/>
              </w:rPr>
              <w:t>29</w:t>
            </w:r>
            <w:r w:rsidRPr="00E331FB">
              <w:rPr>
                <w:color w:val="0000FF"/>
              </w:rPr>
              <w:tab/>
              <w:t xml:space="preserve">Dutiable value of certain dutiable transactions </w:t>
            </w:r>
            <w:bookmarkEnd w:id="196"/>
            <w:bookmarkEnd w:id="197"/>
            <w:r w:rsidRPr="00E331FB">
              <w:rPr>
                <w:color w:val="0000FF"/>
              </w:rPr>
              <w:t>relating to corporation or unit trust scheme property on winding up</w:t>
            </w:r>
          </w:p>
          <w:p w:rsidR="00EF4EC1" w:rsidRPr="00E331FB" w:rsidRDefault="00EF4EC1" w:rsidP="00EF4EC1">
            <w:pPr>
              <w:pStyle w:val="Slide2"/>
              <w:rPr>
                <w:color w:val="0000FF"/>
              </w:rPr>
            </w:pPr>
            <w:r w:rsidRPr="00E331FB">
              <w:rPr>
                <w:color w:val="0000FF"/>
              </w:rPr>
              <w:tab/>
              <w:t>The dutiable value of a dutiable transaction that is a transfer of corporation or unit trust scheme property is:</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in relation to a corporation – determined in accordance with the following formula:</w:t>
            </w:r>
          </w:p>
          <w:p w:rsidR="00EF4EC1" w:rsidRPr="00E331FB" w:rsidRDefault="00EF4EC1" w:rsidP="00EF4EC1">
            <w:pPr>
              <w:pStyle w:val="SlideEquation"/>
              <w:ind w:left="1134"/>
              <w:rPr>
                <w:color w:val="0000FF"/>
                <w:oMath/>
              </w:rPr>
            </w:pPr>
            <m:oMathPara>
              <m:oMathParaPr>
                <m:jc m:val="left"/>
              </m:oMathParaPr>
              <m:oMath>
                <m:r>
                  <m:rPr>
                    <m:nor/>
                  </m:rPr>
                  <w:rPr>
                    <w:color w:val="0000FF"/>
                  </w:rPr>
                  <m:t>v</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a</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w</m:t>
                    </m:r>
                    <m:r>
                      <m:rPr>
                        <m:nor/>
                      </m:rPr>
                      <w:rPr>
                        <w:rFonts w:ascii="Cambria Math"/>
                        <w:color w:val="0000FF"/>
                      </w:rPr>
                      <m:t xml:space="preserve"> </m:t>
                    </m:r>
                  </m:num>
                  <m:den>
                    <m:r>
                      <m:rPr>
                        <m:nor/>
                      </m:rPr>
                      <w:rPr>
                        <w:color w:val="0000FF"/>
                      </w:rPr>
                      <m:t>y</m:t>
                    </m:r>
                  </m:den>
                </m:f>
              </m:oMath>
            </m:oMathPara>
          </w:p>
          <w:p w:rsidR="00EF4EC1" w:rsidRPr="00E331FB" w:rsidRDefault="00EF4EC1" w:rsidP="00EF4EC1">
            <w:pPr>
              <w:pStyle w:val="Slide4"/>
              <w:rPr>
                <w:color w:val="0000FF"/>
              </w:rPr>
            </w:pPr>
            <w:r w:rsidRPr="00E331FB">
              <w:rPr>
                <w:color w:val="0000FF"/>
              </w:rPr>
              <w:t>where:</w:t>
            </w:r>
          </w:p>
          <w:p w:rsidR="00EF4EC1" w:rsidRPr="00E331FB" w:rsidRDefault="00EF4EC1" w:rsidP="00EF4EC1">
            <w:pPr>
              <w:pStyle w:val="Slide4"/>
              <w:tabs>
                <w:tab w:val="right" w:pos="1588"/>
              </w:tabs>
              <w:rPr>
                <w:color w:val="0000FF"/>
              </w:rPr>
            </w:pPr>
            <w:r w:rsidRPr="00E331FB">
              <w:rPr>
                <w:color w:val="0000FF"/>
              </w:rPr>
              <w:t>v</w:t>
            </w:r>
            <w:r w:rsidRPr="00E331FB">
              <w:rPr>
                <w:color w:val="0000FF"/>
              </w:rPr>
              <w:tab/>
              <w:t>=</w:t>
            </w:r>
            <w:r w:rsidRPr="00E331FB">
              <w:rPr>
                <w:color w:val="0000FF"/>
              </w:rPr>
              <w:tab/>
              <w:t>dutiable value</w:t>
            </w:r>
          </w:p>
          <w:p w:rsidR="00EF4EC1" w:rsidRPr="00E331FB" w:rsidRDefault="00EF4EC1" w:rsidP="00EF4EC1">
            <w:pPr>
              <w:pStyle w:val="Slide4"/>
              <w:tabs>
                <w:tab w:val="right" w:pos="1588"/>
              </w:tabs>
              <w:rPr>
                <w:color w:val="0000FF"/>
              </w:rPr>
            </w:pPr>
            <w:r w:rsidRPr="00E331FB">
              <w:rPr>
                <w:color w:val="0000FF"/>
              </w:rPr>
              <w:t>a</w:t>
            </w:r>
            <w:r w:rsidRPr="00E331FB">
              <w:rPr>
                <w:color w:val="0000FF"/>
              </w:rPr>
              <w:tab/>
              <w:t>=</w:t>
            </w:r>
            <w:r w:rsidRPr="00E331FB">
              <w:rPr>
                <w:color w:val="0000FF"/>
              </w:rPr>
              <w:tab/>
              <w:t>the greater of:</w:t>
            </w:r>
          </w:p>
          <w:p w:rsidR="00EF4EC1" w:rsidRPr="00E331FB" w:rsidRDefault="00EF4EC1" w:rsidP="00EF4EC1">
            <w:pPr>
              <w:pStyle w:val="Slide5"/>
              <w:rPr>
                <w:color w:val="0000FF"/>
              </w:rPr>
            </w:pPr>
            <w:r w:rsidRPr="00E331FB">
              <w:rPr>
                <w:color w:val="0000FF"/>
              </w:rPr>
              <w:t>(i)</w:t>
            </w:r>
            <w:r w:rsidRPr="00E331FB">
              <w:rPr>
                <w:color w:val="0000FF"/>
              </w:rPr>
              <w:tab/>
              <w:t xml:space="preserve">the amount (if any) by which the value, when the winding up begins, of all the assets distributed, or to be distributed, to the shareholder exceeds the value, at that time, of the shareholder’s entitlement to the net assets of the corporation; </w:t>
            </w:r>
            <w:r>
              <w:rPr>
                <w:color w:val="0000FF"/>
              </w:rPr>
              <w:t xml:space="preserve"> and</w:t>
            </w:r>
          </w:p>
          <w:p w:rsidR="00EF4EC1" w:rsidRPr="00E331FB" w:rsidRDefault="00EF4EC1" w:rsidP="00EF4EC1">
            <w:pPr>
              <w:pStyle w:val="Slide5"/>
              <w:rPr>
                <w:color w:val="0000FF"/>
              </w:rPr>
            </w:pPr>
            <w:r w:rsidRPr="00E331FB">
              <w:rPr>
                <w:color w:val="0000FF"/>
              </w:rPr>
              <w:t>(ii)</w:t>
            </w:r>
            <w:r w:rsidRPr="00E331FB">
              <w:rPr>
                <w:color w:val="0000FF"/>
              </w:rPr>
              <w:tab/>
              <w:t>the amount that is the total of:</w:t>
            </w:r>
          </w:p>
          <w:p w:rsidR="00EF4EC1" w:rsidRPr="00E331FB" w:rsidRDefault="00EF4EC1" w:rsidP="00EF4EC1">
            <w:pPr>
              <w:pStyle w:val="Slide5"/>
              <w:ind w:left="2835"/>
              <w:rPr>
                <w:color w:val="0000FF"/>
              </w:rPr>
            </w:pPr>
            <w:r w:rsidRPr="00E331FB">
              <w:rPr>
                <w:color w:val="0000FF"/>
              </w:rPr>
              <w:t>(I)</w:t>
            </w:r>
            <w:r w:rsidRPr="00E331FB">
              <w:rPr>
                <w:color w:val="0000FF"/>
              </w:rPr>
              <w:tab/>
              <w:t>the amount (if any) owing to the shareholder that the shareholder has released the corporation from paying in the relevant period; and</w:t>
            </w:r>
          </w:p>
          <w:p w:rsidR="00EF4EC1" w:rsidRPr="00E331FB" w:rsidRDefault="00EF4EC1" w:rsidP="00EF4EC1">
            <w:pPr>
              <w:pStyle w:val="Slide5"/>
              <w:ind w:left="2835"/>
              <w:rPr>
                <w:color w:val="0000FF"/>
              </w:rPr>
            </w:pPr>
            <w:r w:rsidRPr="00E331FB">
              <w:rPr>
                <w:color w:val="0000FF"/>
              </w:rPr>
              <w:t>(II)</w:t>
            </w:r>
            <w:r w:rsidRPr="00E331FB">
              <w:rPr>
                <w:color w:val="0000FF"/>
              </w:rPr>
              <w:tab/>
              <w:t>the amount (if any) of any liability that the shareholder has assumed or discharged on behalf of the corporation in the relevant period</w:t>
            </w:r>
          </w:p>
          <w:p w:rsidR="00EF4EC1" w:rsidRPr="00E331FB" w:rsidRDefault="00EF4EC1" w:rsidP="00EF4EC1">
            <w:pPr>
              <w:pStyle w:val="Slide4"/>
              <w:tabs>
                <w:tab w:val="right" w:pos="1588"/>
              </w:tabs>
              <w:rPr>
                <w:color w:val="0000FF"/>
              </w:rPr>
            </w:pPr>
            <w:r w:rsidRPr="00E331FB">
              <w:rPr>
                <w:color w:val="0000FF"/>
              </w:rPr>
              <w:t>w</w:t>
            </w:r>
            <w:r w:rsidRPr="00E331FB">
              <w:rPr>
                <w:color w:val="0000FF"/>
              </w:rPr>
              <w:tab/>
              <w:t>=</w:t>
            </w:r>
            <w:r w:rsidRPr="00E331FB">
              <w:rPr>
                <w:color w:val="0000FF"/>
              </w:rPr>
              <w:tab/>
              <w:t>unencumbered value of all dutiable property the subject of the transfer</w:t>
            </w:r>
          </w:p>
          <w:p w:rsidR="00EF4EC1" w:rsidRPr="00E331FB" w:rsidRDefault="00EF4EC1" w:rsidP="00EF4EC1">
            <w:pPr>
              <w:pStyle w:val="Slide4"/>
              <w:tabs>
                <w:tab w:val="right" w:pos="1588"/>
              </w:tabs>
              <w:rPr>
                <w:color w:val="0000FF"/>
              </w:rPr>
            </w:pPr>
            <w:r w:rsidRPr="00E331FB">
              <w:rPr>
                <w:color w:val="0000FF"/>
              </w:rPr>
              <w:t>y</w:t>
            </w:r>
            <w:r w:rsidRPr="00E331FB">
              <w:rPr>
                <w:color w:val="0000FF"/>
              </w:rPr>
              <w:tab/>
              <w:t>=</w:t>
            </w:r>
            <w:r w:rsidRPr="00E331FB">
              <w:rPr>
                <w:color w:val="0000FF"/>
              </w:rPr>
              <w:tab/>
              <w:t>unencumbered value of all property the subject of the transfer</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in relation to a unit trust scheme – determined in accordance with the following formula:</w:t>
            </w:r>
          </w:p>
          <w:p w:rsidR="00EF4EC1" w:rsidRPr="00E331FB" w:rsidRDefault="00EF4EC1" w:rsidP="00EF4EC1">
            <w:pPr>
              <w:pStyle w:val="SlideEquation"/>
              <w:ind w:left="1134"/>
              <w:rPr>
                <w:color w:val="0000FF"/>
                <w:oMath/>
              </w:rPr>
            </w:pPr>
            <m:oMathPara>
              <m:oMathParaPr>
                <m:jc m:val="left"/>
              </m:oMathParaPr>
              <m:oMath>
                <m:r>
                  <m:rPr>
                    <m:nor/>
                  </m:rPr>
                  <w:rPr>
                    <w:color w:val="0000FF"/>
                  </w:rPr>
                  <w:lastRenderedPageBreak/>
                  <m:t>v</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a</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w</m:t>
                    </m:r>
                    <m:r>
                      <m:rPr>
                        <m:nor/>
                      </m:rPr>
                      <w:rPr>
                        <w:rFonts w:ascii="Cambria Math"/>
                        <w:color w:val="0000FF"/>
                      </w:rPr>
                      <m:t xml:space="preserve"> </m:t>
                    </m:r>
                  </m:num>
                  <m:den>
                    <m:r>
                      <m:rPr>
                        <m:nor/>
                      </m:rPr>
                      <w:rPr>
                        <w:color w:val="0000FF"/>
                      </w:rPr>
                      <m:t>y</m:t>
                    </m:r>
                  </m:den>
                </m:f>
              </m:oMath>
            </m:oMathPara>
          </w:p>
          <w:p w:rsidR="00EF4EC1" w:rsidRPr="00E331FB" w:rsidRDefault="00EF4EC1" w:rsidP="00EF4EC1">
            <w:pPr>
              <w:pStyle w:val="Slide4"/>
              <w:rPr>
                <w:color w:val="0000FF"/>
              </w:rPr>
            </w:pPr>
            <w:r w:rsidRPr="00E331FB">
              <w:rPr>
                <w:color w:val="0000FF"/>
              </w:rPr>
              <w:t>where:</w:t>
            </w:r>
          </w:p>
          <w:p w:rsidR="00EF4EC1" w:rsidRPr="00E331FB" w:rsidRDefault="00EF4EC1" w:rsidP="00EF4EC1">
            <w:pPr>
              <w:pStyle w:val="Slide4"/>
              <w:tabs>
                <w:tab w:val="right" w:pos="1588"/>
              </w:tabs>
              <w:rPr>
                <w:color w:val="0000FF"/>
              </w:rPr>
            </w:pPr>
            <w:r w:rsidRPr="00E331FB">
              <w:rPr>
                <w:color w:val="0000FF"/>
              </w:rPr>
              <w:t>v</w:t>
            </w:r>
            <w:r w:rsidRPr="00E331FB">
              <w:rPr>
                <w:color w:val="0000FF"/>
              </w:rPr>
              <w:tab/>
              <w:t>=</w:t>
            </w:r>
            <w:r w:rsidRPr="00E331FB">
              <w:rPr>
                <w:color w:val="0000FF"/>
              </w:rPr>
              <w:tab/>
              <w:t>dutiable value</w:t>
            </w:r>
          </w:p>
          <w:p w:rsidR="00EF4EC1" w:rsidRPr="00E331FB" w:rsidRDefault="00EF4EC1" w:rsidP="00EF4EC1">
            <w:pPr>
              <w:pStyle w:val="Slide4"/>
              <w:tabs>
                <w:tab w:val="right" w:pos="1588"/>
              </w:tabs>
              <w:rPr>
                <w:color w:val="0000FF"/>
              </w:rPr>
            </w:pPr>
            <w:r w:rsidRPr="00E331FB">
              <w:rPr>
                <w:color w:val="0000FF"/>
              </w:rPr>
              <w:t>a</w:t>
            </w:r>
            <w:r w:rsidRPr="00E331FB">
              <w:rPr>
                <w:color w:val="0000FF"/>
              </w:rPr>
              <w:tab/>
              <w:t>=</w:t>
            </w:r>
            <w:r w:rsidRPr="00E331FB">
              <w:rPr>
                <w:color w:val="0000FF"/>
              </w:rPr>
              <w:tab/>
              <w:t>the greater of :</w:t>
            </w:r>
          </w:p>
          <w:p w:rsidR="00EF4EC1" w:rsidRPr="00E331FB" w:rsidRDefault="00EF4EC1" w:rsidP="00EF4EC1">
            <w:pPr>
              <w:pStyle w:val="Slide5"/>
              <w:rPr>
                <w:color w:val="0000FF"/>
              </w:rPr>
            </w:pPr>
            <w:r w:rsidRPr="00E331FB">
              <w:rPr>
                <w:color w:val="0000FF"/>
              </w:rPr>
              <w:t>(i)</w:t>
            </w:r>
            <w:r w:rsidRPr="00E331FB">
              <w:rPr>
                <w:color w:val="0000FF"/>
              </w:rPr>
              <w:tab/>
              <w:t xml:space="preserve">the amount (if any) by which the value, when the winding up begins, of all the assets distributed, or to be distributed, to the unit holder exceeds the value, at that time, of the unit holder’s entitlement to the net assets held by the trustee of the unit trust scheme as trustee of that trust; </w:t>
            </w:r>
            <w:r>
              <w:rPr>
                <w:color w:val="0000FF"/>
              </w:rPr>
              <w:t xml:space="preserve"> and</w:t>
            </w:r>
          </w:p>
          <w:p w:rsidR="00EF4EC1" w:rsidRPr="00E331FB" w:rsidRDefault="00EF4EC1" w:rsidP="00EF4EC1">
            <w:pPr>
              <w:pStyle w:val="Slide5"/>
              <w:rPr>
                <w:color w:val="0000FF"/>
              </w:rPr>
            </w:pPr>
            <w:r w:rsidRPr="00E331FB">
              <w:rPr>
                <w:color w:val="0000FF"/>
              </w:rPr>
              <w:t>(ii)</w:t>
            </w:r>
            <w:r w:rsidRPr="00E331FB">
              <w:rPr>
                <w:color w:val="0000FF"/>
              </w:rPr>
              <w:tab/>
              <w:t>the amount that is the total of:</w:t>
            </w:r>
          </w:p>
          <w:p w:rsidR="00EF4EC1" w:rsidRPr="00E331FB" w:rsidRDefault="00EF4EC1" w:rsidP="00EF4EC1">
            <w:pPr>
              <w:pStyle w:val="Slide5"/>
              <w:ind w:left="2835"/>
              <w:rPr>
                <w:color w:val="0000FF"/>
              </w:rPr>
            </w:pPr>
            <w:r w:rsidRPr="00E331FB">
              <w:rPr>
                <w:color w:val="0000FF"/>
              </w:rPr>
              <w:t>(I)</w:t>
            </w:r>
            <w:r w:rsidRPr="00E331FB">
              <w:rPr>
                <w:color w:val="0000FF"/>
              </w:rPr>
              <w:tab/>
              <w:t>the amount (if any) owing to the unit holder that the unit holder has released the trustee of the unit trust scheme from paying in the relevant period; and</w:t>
            </w:r>
          </w:p>
          <w:p w:rsidR="00EF4EC1" w:rsidRPr="00E331FB" w:rsidRDefault="00EF4EC1" w:rsidP="00EF4EC1">
            <w:pPr>
              <w:pStyle w:val="Slide5"/>
              <w:ind w:left="2835"/>
              <w:rPr>
                <w:color w:val="0000FF"/>
              </w:rPr>
            </w:pPr>
            <w:r w:rsidRPr="00E331FB">
              <w:rPr>
                <w:color w:val="0000FF"/>
              </w:rPr>
              <w:t>(II)</w:t>
            </w:r>
            <w:r w:rsidRPr="00E331FB">
              <w:rPr>
                <w:color w:val="0000FF"/>
              </w:rPr>
              <w:tab/>
              <w:t>the amount (if any) of any liability that the unit holder has assumed or discharged on behalf of the trustee of the unit trust scheme in the relevant period</w:t>
            </w:r>
          </w:p>
          <w:p w:rsidR="00EF4EC1" w:rsidRPr="00E331FB" w:rsidRDefault="00EF4EC1" w:rsidP="00EF4EC1">
            <w:pPr>
              <w:pStyle w:val="Slide4"/>
              <w:tabs>
                <w:tab w:val="right" w:pos="1588"/>
              </w:tabs>
              <w:rPr>
                <w:color w:val="0000FF"/>
              </w:rPr>
            </w:pPr>
            <w:r w:rsidRPr="00E331FB">
              <w:rPr>
                <w:color w:val="0000FF"/>
              </w:rPr>
              <w:t>w</w:t>
            </w:r>
            <w:r w:rsidRPr="00E331FB">
              <w:rPr>
                <w:color w:val="0000FF"/>
              </w:rPr>
              <w:tab/>
              <w:t>=</w:t>
            </w:r>
            <w:r w:rsidRPr="00E331FB">
              <w:rPr>
                <w:color w:val="0000FF"/>
              </w:rPr>
              <w:tab/>
              <w:t>unencumbered value of all dutiable property the subject of the transfer</w:t>
            </w:r>
          </w:p>
          <w:p w:rsidR="00EF4EC1" w:rsidRPr="00E331FB" w:rsidRDefault="00EF4EC1" w:rsidP="00EF4EC1">
            <w:pPr>
              <w:pStyle w:val="Slide4"/>
              <w:tabs>
                <w:tab w:val="right" w:pos="1588"/>
              </w:tabs>
              <w:rPr>
                <w:color w:val="0000FF"/>
              </w:rPr>
            </w:pPr>
            <w:r w:rsidRPr="00E331FB">
              <w:rPr>
                <w:color w:val="0000FF"/>
              </w:rPr>
              <w:t>y</w:t>
            </w:r>
            <w:r w:rsidRPr="00E331FB">
              <w:rPr>
                <w:color w:val="0000FF"/>
              </w:rPr>
              <w:tab/>
              <w:t>=</w:t>
            </w:r>
            <w:r w:rsidRPr="00E331FB">
              <w:rPr>
                <w:color w:val="0000FF"/>
              </w:rPr>
              <w:tab/>
              <w:t>unencumbered value of all property the subject of the transfer.</w:t>
            </w:r>
          </w:p>
        </w:tc>
      </w:tr>
      <w:tr w:rsidR="00EF4EC1" w:rsidRPr="00E331FB" w:rsidTr="00EF4EC1">
        <w:tc>
          <w:tcPr>
            <w:tcW w:w="8505" w:type="dxa"/>
            <w:shd w:val="clear" w:color="auto" w:fill="FFFFFF"/>
          </w:tcPr>
          <w:p w:rsidR="00EF4EC1" w:rsidRPr="00E331FB" w:rsidRDefault="00EF4EC1" w:rsidP="00EF4EC1">
            <w:pPr>
              <w:pStyle w:val="Slide2"/>
              <w:rPr>
                <w:i/>
                <w:color w:val="0000FF"/>
              </w:rPr>
            </w:pPr>
            <w:r w:rsidRPr="00E331FB">
              <w:rPr>
                <w:i/>
                <w:color w:val="0000FF"/>
              </w:rPr>
              <w:lastRenderedPageBreak/>
              <w:t>Combined as a single formula</w:t>
            </w:r>
          </w:p>
          <w:p w:rsidR="00EF4EC1" w:rsidRPr="00E331FB" w:rsidRDefault="00EF4EC1" w:rsidP="00EF4EC1">
            <w:pPr>
              <w:pStyle w:val="Slide2"/>
              <w:rPr>
                <w:color w:val="0000FF"/>
              </w:rPr>
            </w:pPr>
            <w:r w:rsidRPr="00E331FB">
              <w:rPr>
                <w:color w:val="0000FF"/>
              </w:rPr>
              <w:tab/>
              <w:t>The dutiable value of a dutiable transaction that is a transfer of corporation or unit trust scheme property is to be determined in accordance with the following formula:</w:t>
            </w:r>
          </w:p>
          <w:p w:rsidR="00EF4EC1" w:rsidRPr="00B23994" w:rsidRDefault="00EF4EC1" w:rsidP="00EF4EC1">
            <w:pPr>
              <w:pStyle w:val="SlideEquation"/>
              <w:rPr>
                <w:color w:val="0000FF"/>
                <w:lang w:val="fr-CA"/>
                <w:oMath/>
              </w:rPr>
            </w:pPr>
            <m:oMathPara>
              <m:oMathParaPr>
                <m:jc m:val="left"/>
              </m:oMathParaPr>
              <m:oMath>
                <m:r>
                  <m:rPr>
                    <m:nor/>
                  </m:rPr>
                  <w:rPr>
                    <w:color w:val="0000FF"/>
                    <w:lang w:val="fr-CA"/>
                  </w:rPr>
                  <m:t>v</m:t>
                </m:r>
                <m:r>
                  <m:rPr>
                    <m:nor/>
                  </m:rPr>
                  <w:rPr>
                    <w:rFonts w:ascii="Cambria Math"/>
                    <w:color w:val="0000FF"/>
                    <w:lang w:val="fr-CA"/>
                  </w:rPr>
                  <m:t xml:space="preserve"> </m:t>
                </m:r>
                <m:r>
                  <m:rPr>
                    <m:nor/>
                  </m:rPr>
                  <w:rPr>
                    <w:color w:val="0000FF"/>
                    <w:lang w:val="fr-CA"/>
                  </w:rPr>
                  <m:t>=</m:t>
                </m:r>
                <m:r>
                  <m:rPr>
                    <m:nor/>
                  </m:rPr>
                  <w:rPr>
                    <w:rFonts w:ascii="Cambria Math"/>
                    <w:color w:val="0000FF"/>
                    <w:lang w:val="fr-CA"/>
                  </w:rPr>
                  <m:t xml:space="preserve"> </m:t>
                </m:r>
                <m:d>
                  <m:dPr>
                    <m:begChr m:val="〈"/>
                    <m:endChr m:val="〉"/>
                    <m:ctrlPr>
                      <w:rPr>
                        <w:rFonts w:ascii="Cambria Math" w:hAnsi="Cambria Math"/>
                        <w:i/>
                        <w:color w:val="0000FF"/>
                      </w:rPr>
                    </m:ctrlPr>
                  </m:dPr>
                  <m:e>
                    <m:r>
                      <w:rPr>
                        <w:rFonts w:ascii="Cambria Math" w:hAnsi="Cambria Math"/>
                        <w:color w:val="0000FF"/>
                        <w:lang w:val="fr-CA"/>
                      </w:rPr>
                      <m:t xml:space="preserve"> </m:t>
                    </m:r>
                    <m:d>
                      <m:dPr>
                        <m:ctrlPr>
                          <w:rPr>
                            <w:rFonts w:ascii="Cambria Math" w:hAnsi="Cambria Math"/>
                            <w:i/>
                            <w:color w:val="0000FF"/>
                          </w:rPr>
                        </m:ctrlPr>
                      </m:dPr>
                      <m:e>
                        <m:r>
                          <m:rPr>
                            <m:nor/>
                          </m:rPr>
                          <w:rPr>
                            <w:color w:val="0000FF"/>
                            <w:lang w:val="fr-CA"/>
                          </w:rPr>
                          <m:t>d</m:t>
                        </m:r>
                        <m:r>
                          <m:rPr>
                            <m:sty m:val="p"/>
                          </m:rPr>
                          <w:rPr>
                            <w:rFonts w:ascii="Cambria Math" w:hAnsi="Cambria Math"/>
                            <w:color w:val="0000FF"/>
                            <w:lang w:val="fr-CA"/>
                          </w:rPr>
                          <m:t>-</m:t>
                        </m:r>
                        <m:r>
                          <m:rPr>
                            <m:nor/>
                          </m:rPr>
                          <w:rPr>
                            <w:color w:val="0000FF"/>
                            <w:lang w:val="fr-CA"/>
                          </w:rPr>
                          <m:t>e</m:t>
                        </m:r>
                      </m:e>
                    </m:d>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d>
                      <m:dPr>
                        <m:begChr m:val="{"/>
                        <m:endChr m:val="}"/>
                        <m:ctrlPr>
                          <w:rPr>
                            <w:rFonts w:ascii="Cambria Math" w:hAnsi="Cambria Math"/>
                            <w:i/>
                            <w:color w:val="0000FF"/>
                          </w:rPr>
                        </m:ctrlPr>
                      </m:dPr>
                      <m:e>
                        <m:r>
                          <m:rPr>
                            <m:nor/>
                          </m:rPr>
                          <w:rPr>
                            <w:rFonts w:ascii="Cambria Math"/>
                            <w:color w:val="0000FF"/>
                            <w:lang w:val="fr-CA"/>
                          </w:rPr>
                          <m:t xml:space="preserve"> </m:t>
                        </m:r>
                        <m:r>
                          <m:rPr>
                            <m:nor/>
                          </m:rPr>
                          <w:rPr>
                            <w:color w:val="0000FF"/>
                            <w:lang w:val="fr-CA"/>
                          </w:rPr>
                          <m:t>k</m:t>
                        </m:r>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d>
                          <m:dPr>
                            <m:begChr m:val="["/>
                            <m:endChr m:val="]"/>
                            <m:ctrlPr>
                              <w:rPr>
                                <w:rFonts w:ascii="Cambria Math" w:hAnsi="Cambria Math"/>
                                <w:i/>
                                <w:color w:val="0000FF"/>
                              </w:rPr>
                            </m:ctrlPr>
                          </m:dPr>
                          <m:e>
                            <m:r>
                              <w:rPr>
                                <w:rFonts w:ascii="Cambria Math" w:hAnsi="Cambria Math"/>
                                <w:color w:val="0000FF"/>
                                <w:lang w:val="fr-CA"/>
                              </w:rPr>
                              <m:t xml:space="preserve"> </m:t>
                            </m:r>
                            <m:d>
                              <m:dPr>
                                <m:ctrlPr>
                                  <w:rPr>
                                    <w:rFonts w:ascii="Cambria Math" w:hAnsi="Cambria Math"/>
                                    <w:i/>
                                    <w:color w:val="0000FF"/>
                                  </w:rPr>
                                </m:ctrlPr>
                              </m:dPr>
                              <m:e>
                                <m:r>
                                  <m:rPr>
                                    <m:nor/>
                                  </m:rPr>
                                  <w:rPr>
                                    <w:color w:val="0000FF"/>
                                    <w:lang w:val="fr-CA"/>
                                  </w:rPr>
                                  <m:t>r</m:t>
                                </m:r>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r>
                                  <m:rPr>
                                    <m:nor/>
                                  </m:rPr>
                                  <w:rPr>
                                    <w:color w:val="0000FF"/>
                                    <w:lang w:val="fr-CA"/>
                                  </w:rPr>
                                  <m:t>a</m:t>
                                </m:r>
                              </m:e>
                            </m:d>
                            <m:r>
                              <m:rPr>
                                <m:sty m:val="p"/>
                              </m:rPr>
                              <w:rPr>
                                <w:rFonts w:ascii="Cambria Math" w:hAnsi="Cambria Math"/>
                                <w:color w:val="0000FF"/>
                                <w:lang w:val="fr-CA"/>
                              </w:rPr>
                              <m:t>-</m:t>
                            </m:r>
                            <m:d>
                              <m:dPr>
                                <m:ctrlPr>
                                  <w:rPr>
                                    <w:rFonts w:ascii="Cambria Math" w:hAnsi="Cambria Math"/>
                                    <w:i/>
                                    <w:color w:val="0000FF"/>
                                  </w:rPr>
                                </m:ctrlPr>
                              </m:dPr>
                              <m:e>
                                <m:r>
                                  <m:rPr>
                                    <m:nor/>
                                  </m:rPr>
                                  <w:rPr>
                                    <w:color w:val="0000FF"/>
                                    <w:lang w:val="fr-CA"/>
                                  </w:rPr>
                                  <m:t>d</m:t>
                                </m:r>
                                <m:r>
                                  <m:rPr>
                                    <m:sty m:val="p"/>
                                  </m:rPr>
                                  <w:rPr>
                                    <w:rFonts w:ascii="Cambria Math" w:hAnsi="Cambria Math"/>
                                    <w:color w:val="0000FF"/>
                                    <w:lang w:val="fr-CA"/>
                                  </w:rPr>
                                  <m:t>-</m:t>
                                </m:r>
                                <m:r>
                                  <m:rPr>
                                    <m:nor/>
                                  </m:rPr>
                                  <w:rPr>
                                    <w:color w:val="0000FF"/>
                                    <w:lang w:val="fr-CA"/>
                                  </w:rPr>
                                  <m:t>e</m:t>
                                </m:r>
                              </m:e>
                            </m:d>
                            <m:r>
                              <w:rPr>
                                <w:rFonts w:ascii="Cambria Math" w:hAnsi="Cambria Math"/>
                                <w:color w:val="0000FF"/>
                                <w:lang w:val="fr-CA"/>
                              </w:rPr>
                              <m:t xml:space="preserve"> </m:t>
                            </m:r>
                          </m:e>
                        </m:d>
                        <m:r>
                          <w:rPr>
                            <w:rFonts w:ascii="Cambria Math" w:hAnsi="Cambria Math"/>
                            <w:color w:val="0000FF"/>
                            <w:lang w:val="fr-CA"/>
                          </w:rPr>
                          <m:t xml:space="preserve"> </m:t>
                        </m:r>
                      </m:e>
                    </m:d>
                    <m:r>
                      <w:rPr>
                        <w:rFonts w:ascii="Cambria Math" w:hAnsi="Cambria Math"/>
                        <w:color w:val="0000FF"/>
                        <w:lang w:val="fr-CA"/>
                      </w:rPr>
                      <m:t xml:space="preserve"> </m:t>
                    </m:r>
                  </m:e>
                </m:d>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f>
                  <m:fPr>
                    <m:ctrlPr>
                      <w:rPr>
                        <w:rFonts w:ascii="Cambria Math" w:hAnsi="Cambria Math"/>
                        <w:i/>
                        <w:color w:val="0000FF"/>
                      </w:rPr>
                    </m:ctrlPr>
                  </m:fPr>
                  <m:num>
                    <m:r>
                      <m:rPr>
                        <m:nor/>
                      </m:rPr>
                      <w:rPr>
                        <w:color w:val="0000FF"/>
                        <w:lang w:val="fr-CA"/>
                      </w:rPr>
                      <m:t>w</m:t>
                    </m:r>
                    <m:r>
                      <m:rPr>
                        <m:nor/>
                      </m:rPr>
                      <w:rPr>
                        <w:rFonts w:ascii="Cambria Math"/>
                        <w:color w:val="0000FF"/>
                        <w:lang w:val="fr-CA"/>
                      </w:rPr>
                      <m:t xml:space="preserve"> </m:t>
                    </m:r>
                  </m:num>
                  <m:den>
                    <m:r>
                      <m:rPr>
                        <m:nor/>
                      </m:rPr>
                      <w:rPr>
                        <w:color w:val="0000FF"/>
                        <w:lang w:val="fr-CA"/>
                      </w:rPr>
                      <m:t>y</m:t>
                    </m:r>
                  </m:den>
                </m:f>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v</w:t>
            </w:r>
            <w:r w:rsidRPr="00E331FB">
              <w:rPr>
                <w:color w:val="0000FF"/>
              </w:rPr>
              <w:tab/>
              <w:t>=</w:t>
            </w:r>
            <w:r w:rsidRPr="00E331FB">
              <w:rPr>
                <w:color w:val="0000FF"/>
              </w:rPr>
              <w:tab/>
              <w:t>dutiable value</w:t>
            </w:r>
          </w:p>
          <w:p w:rsidR="00EF4EC1" w:rsidRPr="00E331FB" w:rsidRDefault="00EF4EC1" w:rsidP="00EF4EC1">
            <w:pPr>
              <w:pStyle w:val="Slide3"/>
              <w:rPr>
                <w:color w:val="0000FF"/>
              </w:rPr>
            </w:pPr>
            <w:r w:rsidRPr="00E331FB">
              <w:rPr>
                <w:color w:val="0000FF"/>
              </w:rPr>
              <w:t>d</w:t>
            </w:r>
            <w:r w:rsidRPr="00E331FB">
              <w:rPr>
                <w:color w:val="0000FF"/>
              </w:rPr>
              <w:tab/>
              <w:t>=</w:t>
            </w:r>
            <w:r w:rsidRPr="00E331FB">
              <w:rPr>
                <w:color w:val="0000FF"/>
              </w:rPr>
              <w:tab/>
              <w:t>the value, when the winding up begins, of all the assets distributed, or to be distributed, to the transferee</w:t>
            </w:r>
          </w:p>
          <w:p w:rsidR="00EF4EC1" w:rsidRPr="00E331FB" w:rsidRDefault="00EF4EC1" w:rsidP="00EF4EC1">
            <w:pPr>
              <w:pStyle w:val="Slide3"/>
              <w:rPr>
                <w:color w:val="0000FF"/>
              </w:rPr>
            </w:pPr>
            <w:r w:rsidRPr="00E331FB">
              <w:rPr>
                <w:color w:val="0000FF"/>
              </w:rPr>
              <w:t>e</w:t>
            </w:r>
            <w:r w:rsidRPr="00E331FB">
              <w:rPr>
                <w:color w:val="0000FF"/>
              </w:rPr>
              <w:tab/>
              <w:t>=</w:t>
            </w:r>
            <w:r w:rsidRPr="00E331FB">
              <w:rPr>
                <w:color w:val="0000FF"/>
              </w:rPr>
              <w:tab/>
              <w:t>the value, when the winding up begins, of the transferee’s entitlement to the net assets of the corporation or trustee</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the amount (if any) owing to the transferee that the transferee has released the corporation or trustee from paying in the relevant period</w:t>
            </w:r>
          </w:p>
          <w:p w:rsidR="00EF4EC1" w:rsidRPr="00E331FB" w:rsidRDefault="00EF4EC1" w:rsidP="00EF4EC1">
            <w:pPr>
              <w:pStyle w:val="Slide3"/>
              <w:rPr>
                <w:color w:val="0000FF"/>
              </w:rPr>
            </w:pPr>
            <w:r w:rsidRPr="00E331FB">
              <w:rPr>
                <w:color w:val="0000FF"/>
              </w:rPr>
              <w:t>a</w:t>
            </w:r>
            <w:r w:rsidRPr="00E331FB">
              <w:rPr>
                <w:color w:val="0000FF"/>
              </w:rPr>
              <w:tab/>
              <w:t>=</w:t>
            </w:r>
            <w:r w:rsidRPr="00E331FB">
              <w:rPr>
                <w:color w:val="0000FF"/>
              </w:rPr>
              <w:tab/>
              <w:t>the amount (if any) of any liability that the transferee has assumed or discharged on behalf of the corporation or trustee in the relevant period</w:t>
            </w:r>
          </w:p>
          <w:p w:rsidR="00EF4EC1" w:rsidRPr="00E331FB" w:rsidRDefault="00EF4EC1" w:rsidP="00EF4EC1">
            <w:pPr>
              <w:pStyle w:val="Slide3"/>
              <w:rPr>
                <w:color w:val="0000FF"/>
              </w:rPr>
            </w:pPr>
            <w:r w:rsidRPr="00E331FB">
              <w:rPr>
                <w:color w:val="0000FF"/>
              </w:rPr>
              <w:lastRenderedPageBreak/>
              <w:t>k</w:t>
            </w:r>
            <w:r w:rsidRPr="00E331FB">
              <w:rPr>
                <w:color w:val="0000FF"/>
              </w:rPr>
              <w:tab/>
              <w:t>=</w:t>
            </w:r>
            <w:r w:rsidRPr="00E331FB">
              <w:rPr>
                <w:color w:val="0000FF"/>
              </w:rPr>
              <w:tab/>
              <w:t>if (d</w:t>
            </w:r>
            <w:r>
              <w:rPr>
                <w:color w:val="0000FF"/>
              </w:rPr>
              <w:t xml:space="preserve"> </w:t>
            </w:r>
            <w:r>
              <w:rPr>
                <w:color w:val="0000FF"/>
              </w:rPr>
              <w:noBreakHyphen/>
              <w:t xml:space="preserve"> </w:t>
            </w:r>
            <w:r w:rsidRPr="00E331FB">
              <w:rPr>
                <w:color w:val="0000FF"/>
              </w:rPr>
              <w:t>e)</w:t>
            </w:r>
            <w:r>
              <w:rPr>
                <w:color w:val="0000FF"/>
              </w:rPr>
              <w:t xml:space="preserve"> </w:t>
            </w:r>
            <w:r w:rsidRPr="00E331FB">
              <w:rPr>
                <w:color w:val="0000FF"/>
              </w:rPr>
              <w:t>≥</w:t>
            </w:r>
            <w:r>
              <w:rPr>
                <w:color w:val="0000FF"/>
              </w:rPr>
              <w:t xml:space="preserve"> </w:t>
            </w:r>
            <w:r w:rsidRPr="00E331FB">
              <w:rPr>
                <w:color w:val="0000FF"/>
              </w:rPr>
              <w:t>(r</w:t>
            </w:r>
            <w:r>
              <w:rPr>
                <w:color w:val="0000FF"/>
              </w:rPr>
              <w:t xml:space="preserve"> </w:t>
            </w:r>
            <w:r w:rsidRPr="00E331FB">
              <w:rPr>
                <w:color w:val="0000FF"/>
              </w:rPr>
              <w:t>+</w:t>
            </w:r>
            <w:r>
              <w:rPr>
                <w:color w:val="0000FF"/>
              </w:rPr>
              <w:t xml:space="preserve"> </w:t>
            </w:r>
            <w:r w:rsidRPr="00E331FB">
              <w:rPr>
                <w:color w:val="0000FF"/>
              </w:rPr>
              <w:t>a), then k</w:t>
            </w:r>
            <w:r>
              <w:rPr>
                <w:color w:val="0000FF"/>
              </w:rPr>
              <w:t xml:space="preserve"> </w:t>
            </w:r>
            <w:r w:rsidRPr="00E331FB">
              <w:rPr>
                <w:color w:val="0000FF"/>
              </w:rPr>
              <w:t>=</w:t>
            </w:r>
            <w:r>
              <w:rPr>
                <w:color w:val="0000FF"/>
              </w:rPr>
              <w:t xml:space="preserve"> </w:t>
            </w:r>
            <w:r w:rsidRPr="00E331FB">
              <w:rPr>
                <w:color w:val="0000FF"/>
              </w:rPr>
              <w:t>0</w:t>
            </w:r>
          </w:p>
          <w:p w:rsidR="00EF4EC1" w:rsidRPr="00E331FB" w:rsidRDefault="00EF4EC1" w:rsidP="00EF4EC1">
            <w:pPr>
              <w:pStyle w:val="Slide3"/>
              <w:rPr>
                <w:color w:val="0000FF"/>
              </w:rPr>
            </w:pPr>
            <w:r w:rsidRPr="00E331FB">
              <w:rPr>
                <w:color w:val="0000FF"/>
              </w:rPr>
              <w:tab/>
            </w:r>
            <w:r w:rsidRPr="00E331FB">
              <w:rPr>
                <w:color w:val="0000FF"/>
              </w:rPr>
              <w:tab/>
              <w:t>if (d</w:t>
            </w:r>
            <w:r>
              <w:rPr>
                <w:color w:val="0000FF"/>
              </w:rPr>
              <w:t xml:space="preserve"> </w:t>
            </w:r>
            <w:r>
              <w:rPr>
                <w:color w:val="0000FF"/>
              </w:rPr>
              <w:noBreakHyphen/>
              <w:t xml:space="preserve"> </w:t>
            </w:r>
            <w:r w:rsidRPr="00E331FB">
              <w:rPr>
                <w:color w:val="0000FF"/>
              </w:rPr>
              <w:t>e)</w:t>
            </w:r>
            <w:r>
              <w:rPr>
                <w:color w:val="0000FF"/>
              </w:rPr>
              <w:t xml:space="preserve"> </w:t>
            </w:r>
            <w:r w:rsidRPr="00E331FB">
              <w:rPr>
                <w:color w:val="0000FF"/>
              </w:rPr>
              <w:t>&lt;</w:t>
            </w:r>
            <w:r>
              <w:rPr>
                <w:color w:val="0000FF"/>
              </w:rPr>
              <w:t xml:space="preserve"> </w:t>
            </w:r>
            <w:r w:rsidRPr="00E331FB">
              <w:rPr>
                <w:color w:val="0000FF"/>
              </w:rPr>
              <w:t>(r</w:t>
            </w:r>
            <w:r>
              <w:rPr>
                <w:color w:val="0000FF"/>
              </w:rPr>
              <w:t xml:space="preserve"> </w:t>
            </w:r>
            <w:r w:rsidRPr="00E331FB">
              <w:rPr>
                <w:color w:val="0000FF"/>
              </w:rPr>
              <w:t>+</w:t>
            </w:r>
            <w:r>
              <w:rPr>
                <w:color w:val="0000FF"/>
              </w:rPr>
              <w:t xml:space="preserve"> </w:t>
            </w:r>
            <w:r w:rsidRPr="00E331FB">
              <w:rPr>
                <w:color w:val="0000FF"/>
              </w:rPr>
              <w:t>a), then k</w:t>
            </w:r>
            <w:r>
              <w:rPr>
                <w:color w:val="0000FF"/>
              </w:rPr>
              <w:t xml:space="preserve"> </w:t>
            </w:r>
            <w:r w:rsidRPr="00E331FB">
              <w:rPr>
                <w:color w:val="0000FF"/>
              </w:rPr>
              <w:t>=</w:t>
            </w:r>
            <w:r>
              <w:rPr>
                <w:color w:val="0000FF"/>
              </w:rPr>
              <w:t xml:space="preserve"> </w:t>
            </w:r>
            <w:r w:rsidRPr="00E331FB">
              <w:rPr>
                <w:color w:val="0000FF"/>
              </w:rPr>
              <w:t>1</w:t>
            </w:r>
          </w:p>
          <w:p w:rsidR="00EF4EC1" w:rsidRPr="00E331FB" w:rsidRDefault="00EF4EC1" w:rsidP="00EF4EC1">
            <w:pPr>
              <w:pStyle w:val="Slide3"/>
              <w:rPr>
                <w:color w:val="0000FF"/>
              </w:rPr>
            </w:pPr>
            <w:r w:rsidRPr="00E331FB">
              <w:rPr>
                <w:color w:val="0000FF"/>
              </w:rPr>
              <w:t>w</w:t>
            </w:r>
            <w:r w:rsidRPr="00E331FB">
              <w:rPr>
                <w:color w:val="0000FF"/>
              </w:rPr>
              <w:tab/>
              <w:t>=</w:t>
            </w:r>
            <w:r w:rsidRPr="00E331FB">
              <w:rPr>
                <w:color w:val="0000FF"/>
              </w:rPr>
              <w:tab/>
              <w:t>unencumbered value of all dutiable property the subject of the transfer</w:t>
            </w:r>
          </w:p>
          <w:p w:rsidR="00EF4EC1" w:rsidRPr="00E331FB" w:rsidRDefault="00EF4EC1" w:rsidP="00EF4EC1">
            <w:pPr>
              <w:pStyle w:val="Slide3"/>
              <w:rPr>
                <w:color w:val="0000FF"/>
              </w:rPr>
            </w:pPr>
            <w:r>
              <w:rPr>
                <w:color w:val="0000FF"/>
              </w:rPr>
              <w:t>y</w:t>
            </w:r>
            <w:r w:rsidRPr="00E331FB">
              <w:rPr>
                <w:color w:val="0000FF"/>
              </w:rPr>
              <w:tab/>
              <w:t>=</w:t>
            </w:r>
            <w:r w:rsidRPr="00E331FB">
              <w:rPr>
                <w:color w:val="0000FF"/>
              </w:rPr>
              <w:tab/>
              <w:t>unencumbered value of all property the subject of the transfer.</w:t>
            </w:r>
          </w:p>
        </w:tc>
      </w:tr>
    </w:tbl>
    <w:p w:rsidR="00EF4EC1" w:rsidRPr="007D7133" w:rsidRDefault="00EF4EC1" w:rsidP="00EF4EC1">
      <w:pPr>
        <w:pStyle w:val="Normaltext1"/>
      </w:pPr>
      <w:r w:rsidRPr="007D7133">
        <w:lastRenderedPageBreak/>
        <w:t xml:space="preserve">Example 40 is about superannuation for certain Australian judges. The amount of pensions payable is complicated and varies depending on many factors. The pension calculations are set out in 2 sections in a </w:t>
      </w:r>
      <w:r>
        <w:t xml:space="preserve">mixture of words and equations. </w:t>
      </w:r>
      <w:r w:rsidRPr="007D7133">
        <w:t>The first alternative version shows how you might reduce each section to a single formula.</w:t>
      </w:r>
      <w:r>
        <w:t xml:space="preserve"> </w:t>
      </w:r>
      <w:r w:rsidRPr="007D7133">
        <w:t>The second alternative shows how you might combine them both into one formula. The formula is complex, but a judge wanting to know what he is entitled to can see easily from the list of variables what information he needs to be able to make the calculation, and armed with that information he can simply plug the numbers into the formula.</w:t>
      </w:r>
    </w:p>
    <w:p w:rsidR="00EF4EC1" w:rsidRPr="00616683" w:rsidRDefault="00EF4EC1" w:rsidP="00EF4EC1">
      <w:pPr>
        <w:pStyle w:val="Slidelabel"/>
      </w:pPr>
      <w:bookmarkStart w:id="198" w:name="_Ref477013360"/>
      <w:bookmarkStart w:id="199" w:name="_Ref475956171"/>
      <w:r w:rsidRPr="00616683">
        <w:lastRenderedPageBreak/>
        <w:t>Judges pensions</w:t>
      </w:r>
      <w:bookmarkEnd w:id="198"/>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525396" w:rsidTr="00EF4EC1">
        <w:trPr>
          <w:cantSplit/>
        </w:trPr>
        <w:tc>
          <w:tcPr>
            <w:tcW w:w="8505" w:type="dxa"/>
            <w:shd w:val="clear" w:color="auto" w:fill="FFFFFF"/>
          </w:tcPr>
          <w:bookmarkEnd w:id="199"/>
          <w:p w:rsidR="00EF4EC1" w:rsidRPr="00E331FB" w:rsidRDefault="00EF4EC1" w:rsidP="00EF4EC1">
            <w:pPr>
              <w:pStyle w:val="Slide1"/>
              <w:keepNext w:val="0"/>
              <w:rPr>
                <w:color w:val="0000FF"/>
              </w:rPr>
            </w:pPr>
            <w:r w:rsidRPr="00E331FB">
              <w:rPr>
                <w:color w:val="0000FF"/>
              </w:rPr>
              <w:t>6A</w:t>
            </w:r>
            <w:r w:rsidRPr="00E331FB">
              <w:rPr>
                <w:color w:val="0000FF"/>
              </w:rPr>
              <w:tab/>
              <w:t>Rate of pension – judge’s surcharge debt account not in debit</w:t>
            </w:r>
          </w:p>
          <w:p w:rsidR="00EF4EC1" w:rsidRPr="00E331FB" w:rsidRDefault="00EF4EC1" w:rsidP="00EF4EC1">
            <w:pPr>
              <w:pStyle w:val="Slide2"/>
              <w:rPr>
                <w:color w:val="0000FF"/>
              </w:rPr>
            </w:pPr>
            <w:r w:rsidRPr="00E331FB">
              <w:rPr>
                <w:color w:val="0000FF"/>
              </w:rPr>
              <w:t>(1)</w:t>
            </w:r>
            <w:r w:rsidRPr="00E331FB">
              <w:rPr>
                <w:color w:val="0000FF"/>
              </w:rPr>
              <w:tab/>
              <w:t>This section applies to a judge if the judge’s surcharge debt account is not in debit when a pension becomes payable to him or her.</w:t>
            </w:r>
          </w:p>
          <w:p w:rsidR="00EF4EC1" w:rsidRPr="00E331FB" w:rsidRDefault="00EF4EC1" w:rsidP="00EF4EC1">
            <w:pPr>
              <w:pStyle w:val="Slide2"/>
              <w:rPr>
                <w:color w:val="0000FF"/>
              </w:rPr>
            </w:pPr>
            <w:r w:rsidRPr="00E331FB">
              <w:rPr>
                <w:color w:val="0000FF"/>
              </w:rPr>
              <w:t>(2)</w:t>
            </w:r>
            <w:r w:rsidRPr="00E331FB">
              <w:rPr>
                <w:color w:val="0000FF"/>
              </w:rPr>
              <w:tab/>
              <w:t>If the judge is entitled to a pension because of subsection 6(1) or (2) or paragraph 6(2A)(a), the annual rate of the pension is 60% of the appropriate current judicial salary.</w:t>
            </w:r>
          </w:p>
          <w:p w:rsidR="00EF4EC1" w:rsidRPr="00E331FB" w:rsidRDefault="00EF4EC1" w:rsidP="00EF4EC1">
            <w:pPr>
              <w:pStyle w:val="Slide2"/>
              <w:rPr>
                <w:color w:val="0000FF"/>
              </w:rPr>
            </w:pPr>
            <w:r w:rsidRPr="00E331FB">
              <w:rPr>
                <w:color w:val="0000FF"/>
              </w:rPr>
              <w:t>(3)</w:t>
            </w:r>
            <w:r w:rsidRPr="00E331FB">
              <w:rPr>
                <w:color w:val="0000FF"/>
              </w:rPr>
              <w:tab/>
              <w:t>If the judge is entitled to a pension because of paragraph 6(2A)(b), the annual rate of pension is worked out by using the formula:</w:t>
            </w:r>
          </w:p>
          <w:p w:rsidR="00EF4EC1" w:rsidRPr="00E331FB" w:rsidRDefault="00D22D1E" w:rsidP="00EF4EC1">
            <w:pPr>
              <w:pStyle w:val="SlideEquation"/>
              <w:rPr>
                <w:rFonts w:ascii="Cambria Math" w:hAnsi="Cambria Math"/>
                <w:color w:val="0000FF"/>
                <w:oMath/>
              </w:rPr>
            </w:pPr>
            <m:oMathPara>
              <m:oMathParaPr>
                <m:jc m:val="left"/>
              </m:oMathParaPr>
              <m:oMath>
                <m:f>
                  <m:fPr>
                    <m:ctrlPr>
                      <w:rPr>
                        <w:rFonts w:ascii="Cambria Math" w:hAnsi="Cambria Math"/>
                        <w:i/>
                        <w:color w:val="0000FF"/>
                      </w:rPr>
                    </m:ctrlPr>
                  </m:fPr>
                  <m:num>
                    <m:r>
                      <m:rPr>
                        <m:nor/>
                      </m:rPr>
                      <w:rPr>
                        <w:color w:val="0000FF"/>
                      </w:rPr>
                      <m:t>ab</m:t>
                    </m:r>
                  </m:num>
                  <m:den>
                    <m:r>
                      <m:rPr>
                        <m:nor/>
                      </m:rPr>
                      <w:rPr>
                        <w:color w:val="0000FF"/>
                      </w:rPr>
                      <m:t>10</m:t>
                    </m:r>
                  </m:den>
                </m:f>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means 60% of the appropriate current judicial salary</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means</w:t>
            </w:r>
            <w:r>
              <w:rPr>
                <w:color w:val="0000FF"/>
              </w:rPr>
              <w:t xml:space="preserve"> the lesser of</w:t>
            </w:r>
            <w:r w:rsidRPr="00E331FB">
              <w:rPr>
                <w:color w:val="0000FF"/>
              </w:rPr>
              <w:t>:</w:t>
            </w:r>
          </w:p>
          <w:p w:rsidR="00EF4EC1" w:rsidRPr="00E331FB" w:rsidRDefault="00EF4EC1" w:rsidP="00EF4EC1">
            <w:pPr>
              <w:pStyle w:val="Slide4"/>
              <w:rPr>
                <w:color w:val="0000FF"/>
              </w:rPr>
            </w:pPr>
            <w:r w:rsidRPr="00E331FB">
              <w:rPr>
                <w:color w:val="0000FF"/>
              </w:rPr>
              <w:t>(a)</w:t>
            </w:r>
            <w:r w:rsidRPr="00E331FB">
              <w:rPr>
                <w:color w:val="0000FF"/>
              </w:rPr>
              <w:tab/>
              <w:t>the sum of the total number of years (including a fraction of a year) of his or her service as a judge and the total number of years (including a fraction of a year) that the Attorney</w:t>
            </w:r>
            <w:r>
              <w:rPr>
                <w:color w:val="0000FF"/>
              </w:rPr>
              <w:noBreakHyphen/>
            </w:r>
            <w:r w:rsidRPr="00E331FB">
              <w:rPr>
                <w:color w:val="0000FF"/>
              </w:rPr>
              <w:t xml:space="preserve">General certifies to be the period, or aggregate of the periods, (if any) of leave in respect of that service due to the judge immediately before his or her retirement; </w:t>
            </w:r>
            <w:r>
              <w:rPr>
                <w:color w:val="0000FF"/>
              </w:rPr>
              <w:t xml:space="preserve"> and</w:t>
            </w:r>
          </w:p>
          <w:p w:rsidR="00EF4EC1" w:rsidRPr="00E331FB" w:rsidRDefault="00EF4EC1" w:rsidP="00EF4EC1">
            <w:pPr>
              <w:pStyle w:val="Slide4"/>
              <w:rPr>
                <w:color w:val="0000FF"/>
              </w:rPr>
            </w:pPr>
            <w:r w:rsidRPr="00E331FB">
              <w:rPr>
                <w:color w:val="0000FF"/>
              </w:rPr>
              <w:t>(b)</w:t>
            </w:r>
            <w:r w:rsidRPr="00E331FB">
              <w:rPr>
                <w:color w:val="0000FF"/>
              </w:rPr>
              <w:tab/>
              <w:t>10</w:t>
            </w:r>
            <w:r>
              <w:rPr>
                <w:color w:val="0000FF"/>
              </w:rPr>
              <w:t>.</w:t>
            </w:r>
          </w:p>
          <w:p w:rsidR="00EF4EC1" w:rsidRPr="00E331FB" w:rsidRDefault="00EF4EC1" w:rsidP="00EF4EC1">
            <w:pPr>
              <w:pStyle w:val="Slide2"/>
              <w:rPr>
                <w:color w:val="0000FF"/>
              </w:rPr>
            </w:pPr>
            <w:r w:rsidRPr="00E331FB" w:rsidDel="00A72BE0">
              <w:rPr>
                <w:color w:val="0000FF"/>
              </w:rPr>
              <w:t xml:space="preserve"> </w:t>
            </w:r>
            <w:r w:rsidRPr="00E331FB">
              <w:rPr>
                <w:color w:val="0000FF"/>
              </w:rPr>
              <w:t>(4)</w:t>
            </w:r>
            <w:r w:rsidRPr="00E331FB">
              <w:rPr>
                <w:color w:val="0000FF"/>
              </w:rPr>
              <w:tab/>
              <w:t>If the judge is entitled to a pension because of subsection 6(2D), the annual rate of that pension is</w:t>
            </w:r>
            <w:r>
              <w:rPr>
                <w:color w:val="0000FF"/>
              </w:rPr>
              <w:t xml:space="preserve"> the lesser of</w:t>
            </w:r>
            <w:r w:rsidRPr="00E331FB">
              <w:rPr>
                <w:color w:val="0000FF"/>
              </w:rPr>
              <w:t>:</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 xml:space="preserve">0.5% of the appropriate current judicial salary for each completed month of his or her service as a judge; </w:t>
            </w:r>
            <w:r>
              <w:rPr>
                <w:color w:val="0000FF"/>
              </w:rPr>
              <w:t xml:space="preserve"> and </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60% of the appropriate current judicial salary</w:t>
            </w:r>
            <w:r>
              <w:rPr>
                <w:color w:val="0000FF"/>
              </w:rPr>
              <w:t>.</w:t>
            </w:r>
          </w:p>
          <w:p w:rsidR="00EF4EC1" w:rsidRPr="00E331FB" w:rsidRDefault="00EF4EC1" w:rsidP="00EF4EC1">
            <w:pPr>
              <w:pStyle w:val="Slide3"/>
              <w:tabs>
                <w:tab w:val="clear" w:pos="1021"/>
              </w:tabs>
              <w:rPr>
                <w:color w:val="0000FF"/>
              </w:rPr>
            </w:pPr>
          </w:p>
        </w:tc>
      </w:tr>
      <w:tr w:rsidR="00EF4EC1" w:rsidRPr="00525396" w:rsidTr="00EF4EC1">
        <w:trPr>
          <w:cantSplit/>
        </w:trPr>
        <w:tc>
          <w:tcPr>
            <w:tcW w:w="8505" w:type="dxa"/>
            <w:shd w:val="clear" w:color="auto" w:fill="FFFFFF"/>
          </w:tcPr>
          <w:p w:rsidR="00EF4EC1" w:rsidRPr="00E331FB" w:rsidRDefault="00EF4EC1" w:rsidP="00EF4EC1">
            <w:pPr>
              <w:pStyle w:val="Slide1"/>
              <w:keepNext w:val="0"/>
              <w:rPr>
                <w:color w:val="0000FF"/>
              </w:rPr>
            </w:pPr>
            <w:r w:rsidRPr="00E331FB">
              <w:rPr>
                <w:color w:val="0000FF"/>
              </w:rPr>
              <w:lastRenderedPageBreak/>
              <w:t>6B</w:t>
            </w:r>
            <w:r w:rsidRPr="00E331FB">
              <w:rPr>
                <w:color w:val="0000FF"/>
              </w:rPr>
              <w:tab/>
              <w:t>Rate of pension – judge’s surcharge debt account in debit</w:t>
            </w:r>
          </w:p>
          <w:p w:rsidR="00EF4EC1" w:rsidRPr="00E331FB" w:rsidRDefault="00EF4EC1" w:rsidP="00EF4EC1">
            <w:pPr>
              <w:pStyle w:val="Slide2"/>
              <w:rPr>
                <w:color w:val="0000FF"/>
              </w:rPr>
            </w:pPr>
            <w:r w:rsidRPr="00E331FB">
              <w:rPr>
                <w:color w:val="0000FF"/>
              </w:rPr>
              <w:t>(1)</w:t>
            </w:r>
            <w:r w:rsidRPr="00E331FB">
              <w:rPr>
                <w:color w:val="0000FF"/>
              </w:rPr>
              <w:tab/>
              <w:t>This section applies to a judge if the judge’s surcharge debt account is in debit when a pension becomes payable to him or her.</w:t>
            </w:r>
          </w:p>
          <w:p w:rsidR="00EF4EC1" w:rsidRPr="00E331FB" w:rsidRDefault="00EF4EC1" w:rsidP="00EF4EC1">
            <w:pPr>
              <w:pStyle w:val="Slide2"/>
              <w:rPr>
                <w:color w:val="0000FF"/>
              </w:rPr>
            </w:pPr>
            <w:r w:rsidRPr="00E331FB">
              <w:rPr>
                <w:color w:val="0000FF"/>
              </w:rPr>
              <w:t>(2)</w:t>
            </w:r>
            <w:r w:rsidRPr="00E331FB">
              <w:rPr>
                <w:color w:val="0000FF"/>
              </w:rPr>
              <w:tab/>
              <w:t>The annual rate of the pension to which the judge is entitled is:</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if the period of his or her service as a judge does not include a period of exempt service – the rate worked out by using the formula:</w:t>
            </w:r>
          </w:p>
          <w:p w:rsidR="00EF4EC1" w:rsidRPr="00B23994" w:rsidRDefault="00EF4EC1" w:rsidP="00EF4EC1">
            <w:pPr>
              <w:pStyle w:val="Slide3"/>
              <w:rPr>
                <w:rFonts w:ascii="Cambria Math" w:hAnsi="Cambria Math"/>
                <w:color w:val="0000FF"/>
                <w:lang w:val="fr-CA"/>
                <w:oMath/>
              </w:rPr>
            </w:pPr>
            <m:oMathPara>
              <m:oMathParaPr>
                <m:jc m:val="left"/>
              </m:oMathParaPr>
              <m:oMath>
                <m:r>
                  <m:rPr>
                    <m:nor/>
                  </m:rPr>
                  <w:rPr>
                    <w:color w:val="0000FF"/>
                    <w:lang w:val="fr-CA"/>
                  </w:rPr>
                  <m:t>bp</m:t>
                </m:r>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d>
                  <m:dPr>
                    <m:ctrlPr>
                      <w:rPr>
                        <w:rFonts w:ascii="Cambria Math" w:hAnsi="Cambria Math"/>
                        <w:i/>
                        <w:color w:val="0000FF"/>
                      </w:rPr>
                    </m:ctrlPr>
                  </m:dPr>
                  <m:e>
                    <m:r>
                      <m:rPr>
                        <m:nor/>
                      </m:rPr>
                      <w:rPr>
                        <w:color w:val="0000FF"/>
                        <w:lang w:val="fr-CA"/>
                      </w:rPr>
                      <m:t>1</m:t>
                    </m:r>
                    <m:r>
                      <m:rPr>
                        <m:sty m:val="p"/>
                      </m:rPr>
                      <w:rPr>
                        <w:rFonts w:ascii="Cambria Math" w:hAnsi="Cambria Math"/>
                        <w:color w:val="0000FF"/>
                        <w:lang w:val="fr-CA"/>
                      </w:rPr>
                      <m:t>-</m:t>
                    </m:r>
                    <m:f>
                      <m:fPr>
                        <m:ctrlPr>
                          <w:rPr>
                            <w:rFonts w:ascii="Cambria Math" w:hAnsi="Cambria Math"/>
                            <w:i/>
                            <w:color w:val="0000FF"/>
                          </w:rPr>
                        </m:ctrlPr>
                      </m:fPr>
                      <m:num>
                        <m:r>
                          <m:rPr>
                            <m:nor/>
                          </m:rPr>
                          <w:rPr>
                            <w:color w:val="0000FF"/>
                            <w:lang w:val="fr-CA"/>
                          </w:rPr>
                          <m:t>scs1</m:t>
                        </m:r>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r>
                          <m:rPr>
                            <m:nor/>
                          </m:rPr>
                          <w:rPr>
                            <w:color w:val="0000FF"/>
                            <w:lang w:val="fr-CA"/>
                          </w:rPr>
                          <m:t>scs2</m:t>
                        </m:r>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r>
                          <m:rPr>
                            <m:nor/>
                          </m:rPr>
                          <w:rPr>
                            <w:color w:val="0000FF"/>
                            <w:lang w:val="fr-CA"/>
                          </w:rPr>
                          <m:t>…</m:t>
                        </m:r>
                        <m:r>
                          <m:rPr>
                            <m:nor/>
                          </m:rPr>
                          <w:rPr>
                            <w:rFonts w:ascii="Cambria Math"/>
                            <w:color w:val="0000FF"/>
                            <w:lang w:val="fr-CA"/>
                          </w:rPr>
                          <m:t xml:space="preserve"> </m:t>
                        </m:r>
                        <m:r>
                          <m:rPr>
                            <m:nor/>
                          </m:rPr>
                          <w:rPr>
                            <w:rFonts w:ascii="Cambria Math" w:hAnsi="Cambria Math"/>
                            <w:color w:val="0000FF"/>
                            <w:lang w:val="fr-CA"/>
                          </w:rPr>
                          <m:t>+</m:t>
                        </m:r>
                        <m:r>
                          <m:rPr>
                            <m:nor/>
                          </m:rPr>
                          <w:rPr>
                            <w:rFonts w:ascii="Cambria Math"/>
                            <w:color w:val="0000FF"/>
                            <w:lang w:val="fr-CA"/>
                          </w:rPr>
                          <m:t xml:space="preserve"> </m:t>
                        </m:r>
                        <m:r>
                          <m:rPr>
                            <m:nor/>
                          </m:rPr>
                          <w:rPr>
                            <w:color w:val="0000FF"/>
                            <w:lang w:val="fr-CA"/>
                          </w:rPr>
                          <m:t>scsy</m:t>
                        </m:r>
                      </m:num>
                      <m:den>
                        <m:r>
                          <m:rPr>
                            <m:nor/>
                          </m:rPr>
                          <w:rPr>
                            <w:color w:val="0000FF"/>
                            <w:lang w:val="fr-CA"/>
                          </w:rPr>
                          <m:t>y</m:t>
                        </m:r>
                      </m:den>
                    </m:f>
                  </m:e>
                </m:d>
              </m:oMath>
            </m:oMathPara>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if the period of his or her service as a judge includes a period of exempt service that is less than his or her qualifying period for a pension – the rate worked out by using the formula:</w:t>
            </w:r>
          </w:p>
          <w:p w:rsidR="00EF4EC1" w:rsidRPr="00E331FB" w:rsidRDefault="00D22D1E" w:rsidP="00EF4EC1">
            <w:pPr>
              <w:pStyle w:val="Slide3"/>
              <w:rPr>
                <w:rFonts w:ascii="Cambria Math" w:hAnsi="Cambria Math"/>
                <w:color w:val="0000FF"/>
                <w:oMath/>
              </w:rPr>
            </w:pPr>
            <m:oMathPara>
              <m:oMathParaPr>
                <m:jc m:val="left"/>
              </m:oMathParaPr>
              <m:oMath>
                <m:d>
                  <m:dPr>
                    <m:ctrlPr>
                      <w:rPr>
                        <w:rFonts w:ascii="Cambria Math" w:hAnsi="Cambria Math"/>
                        <w:color w:val="0000FF"/>
                      </w:rPr>
                    </m:ctrlPr>
                  </m:dPr>
                  <m:e>
                    <m:r>
                      <m:rPr>
                        <m:nor/>
                      </m:rPr>
                      <w:rPr>
                        <w:color w:val="0000FF"/>
                      </w:rPr>
                      <m:t>bp</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e</m:t>
                        </m:r>
                      </m:num>
                      <m:den>
                        <m:r>
                          <m:rPr>
                            <m:nor/>
                          </m:rPr>
                          <w:rPr>
                            <w:color w:val="0000FF"/>
                          </w:rPr>
                          <m:t>q</m:t>
                        </m:r>
                      </m:den>
                    </m:f>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begChr m:val="["/>
                    <m:endChr m:val="]"/>
                    <m:ctrlPr>
                      <w:rPr>
                        <w:rFonts w:ascii="Cambria Math" w:hAnsi="Cambria Math"/>
                        <w:i/>
                        <w:color w:val="0000FF"/>
                      </w:rPr>
                    </m:ctrlPr>
                  </m:dPr>
                  <m:e>
                    <m:r>
                      <m:rPr>
                        <m:nor/>
                      </m:rPr>
                      <w:rPr>
                        <w:color w:val="0000FF"/>
                      </w:rPr>
                      <m:t>bp</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1</m:t>
                        </m:r>
                        <m:r>
                          <m:rPr>
                            <m:sty m:val="p"/>
                          </m:rPr>
                          <w:rPr>
                            <w:rFonts w:ascii="Cambria Math" w:hAnsi="Cambria Math"/>
                            <w:color w:val="0000FF"/>
                          </w:rPr>
                          <m:t>-</m:t>
                        </m:r>
                        <m:f>
                          <m:fPr>
                            <m:ctrlPr>
                              <w:rPr>
                                <w:rFonts w:ascii="Cambria Math" w:hAnsi="Cambria Math"/>
                                <w:i/>
                                <w:color w:val="0000FF"/>
                              </w:rPr>
                            </m:ctrlPr>
                          </m:fPr>
                          <m:num>
                            <m:r>
                              <m:rPr>
                                <m:nor/>
                              </m:rPr>
                              <w:rPr>
                                <w:color w:val="0000FF"/>
                              </w:rPr>
                              <m:t>e</m:t>
                            </m:r>
                          </m:num>
                          <m:den>
                            <m:r>
                              <m:rPr>
                                <m:nor/>
                              </m:rPr>
                              <w:rPr>
                                <w:color w:val="0000FF"/>
                              </w:rPr>
                              <m:t>q</m:t>
                            </m:r>
                          </m:den>
                        </m:f>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1</m:t>
                        </m:r>
                        <m:r>
                          <m:rPr>
                            <m:sty m:val="p"/>
                          </m:rPr>
                          <w:rPr>
                            <w:rFonts w:ascii="Cambria Math" w:hAnsi="Cambria Math"/>
                            <w:color w:val="0000FF"/>
                          </w:rPr>
                          <m:t>-</m:t>
                        </m:r>
                        <m:f>
                          <m:fPr>
                            <m:ctrlPr>
                              <w:rPr>
                                <w:rFonts w:ascii="Cambria Math" w:hAnsi="Cambria Math"/>
                                <w:i/>
                                <w:color w:val="0000FF"/>
                              </w:rPr>
                            </m:ctrlPr>
                          </m:fPr>
                          <m:num>
                            <m:r>
                              <m:rPr>
                                <m:nor/>
                              </m:rPr>
                              <w:rPr>
                                <w:color w:val="0000FF"/>
                              </w:rPr>
                              <m:t>scs1</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scs2</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scsy</m:t>
                            </m:r>
                          </m:num>
                          <m:den>
                            <m:r>
                              <m:rPr>
                                <m:nor/>
                              </m:rPr>
                              <w:rPr>
                                <w:color w:val="0000FF"/>
                              </w:rPr>
                              <m:t>y</m:t>
                            </m:r>
                          </m:den>
                        </m:f>
                      </m:e>
                    </m:d>
                  </m:e>
                </m:d>
              </m:oMath>
            </m:oMathPara>
          </w:p>
          <w:p w:rsidR="00EF4EC1" w:rsidRPr="00E331FB" w:rsidRDefault="00EF4EC1" w:rsidP="00EF4EC1">
            <w:pPr>
              <w:pStyle w:val="Slide3"/>
              <w:tabs>
                <w:tab w:val="clear" w:pos="1021"/>
              </w:tabs>
              <w:rPr>
                <w:color w:val="0000FF"/>
              </w:rPr>
            </w:pPr>
            <w:r w:rsidRPr="00E331FB">
              <w:rPr>
                <w:color w:val="0000FF"/>
              </w:rPr>
              <w:t>(c)</w:t>
            </w:r>
            <w:r w:rsidRPr="00E331FB">
              <w:rPr>
                <w:color w:val="0000FF"/>
              </w:rPr>
              <w:tab/>
              <w:t xml:space="preserve">if the period of his or her service as a judge includes a period of exempt service that is equal to or longer than his or her qualifying period for a pension – a rate equal to </w:t>
            </w:r>
            <w:r>
              <w:rPr>
                <w:color w:val="0000FF"/>
              </w:rPr>
              <w:t>bp</w:t>
            </w:r>
            <w:r w:rsidRPr="00E331FB">
              <w:rPr>
                <w:color w:val="0000FF"/>
              </w:rPr>
              <w:t>;</w:t>
            </w:r>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bp</w:t>
            </w:r>
            <w:r w:rsidRPr="00E331FB">
              <w:rPr>
                <w:color w:val="0000FF"/>
              </w:rPr>
              <w:tab/>
            </w:r>
            <w:r w:rsidRPr="00E331FB">
              <w:rPr>
                <w:color w:val="0000FF"/>
              </w:rPr>
              <w:tab/>
              <w:t>(basic pension) means the annual rate of the pension that would be payable to the judge if his or her surcharge debt account were not in debit when the pension becomes payable</w:t>
            </w:r>
          </w:p>
          <w:p w:rsidR="00EF4EC1" w:rsidRPr="00E331FB" w:rsidRDefault="00EF4EC1" w:rsidP="00EF4EC1">
            <w:pPr>
              <w:pStyle w:val="Slide3"/>
              <w:tabs>
                <w:tab w:val="clear" w:pos="1021"/>
              </w:tabs>
              <w:rPr>
                <w:color w:val="0000FF"/>
              </w:rPr>
            </w:pPr>
            <w:r w:rsidRPr="00E331FB">
              <w:rPr>
                <w:color w:val="0000FF"/>
              </w:rPr>
              <w:t>e</w:t>
            </w:r>
            <w:r w:rsidRPr="00E331FB">
              <w:rPr>
                <w:color w:val="0000FF"/>
              </w:rPr>
              <w:tab/>
              <w:t>means the number of years in the judge’s period of exempt service</w:t>
            </w:r>
          </w:p>
          <w:p w:rsidR="00EF4EC1" w:rsidRPr="00E331FB" w:rsidRDefault="00EF4EC1" w:rsidP="00EF4EC1">
            <w:pPr>
              <w:pStyle w:val="Slide3"/>
              <w:tabs>
                <w:tab w:val="clear" w:pos="1021"/>
              </w:tabs>
              <w:rPr>
                <w:color w:val="0000FF"/>
              </w:rPr>
            </w:pPr>
            <w:r w:rsidRPr="00E331FB">
              <w:rPr>
                <w:color w:val="0000FF"/>
              </w:rPr>
              <w:t>q</w:t>
            </w:r>
            <w:r w:rsidRPr="00E331FB">
              <w:rPr>
                <w:color w:val="0000FF"/>
              </w:rPr>
              <w:tab/>
              <w:t>means the number of years in the judge’s qualifying period for a pension</w:t>
            </w:r>
          </w:p>
          <w:p w:rsidR="00EF4EC1" w:rsidRPr="00E331FB" w:rsidRDefault="00EF4EC1" w:rsidP="00EF4EC1">
            <w:pPr>
              <w:pStyle w:val="Slide3"/>
              <w:tabs>
                <w:tab w:val="clear" w:pos="1021"/>
              </w:tabs>
              <w:rPr>
                <w:color w:val="0000FF"/>
              </w:rPr>
            </w:pPr>
            <w:r w:rsidRPr="00E331FB">
              <w:rPr>
                <w:color w:val="0000FF"/>
              </w:rPr>
              <w:t>scs1 means the rate of superannuation contributions surcharge that applies to the judge for financial year 1 included in the relevant period in relation to him or her, and scs2 and scsy each have a corresponding meaning</w:t>
            </w:r>
          </w:p>
          <w:p w:rsidR="00EF4EC1" w:rsidRPr="00E331FB" w:rsidRDefault="00EF4EC1" w:rsidP="00EF4EC1">
            <w:pPr>
              <w:pStyle w:val="Slide3"/>
              <w:rPr>
                <w:color w:val="0000FF"/>
              </w:rPr>
            </w:pPr>
            <w:r w:rsidRPr="00E331FB">
              <w:rPr>
                <w:color w:val="0000FF"/>
              </w:rPr>
              <w:t>relevant period, in relation to a judge, means:</w:t>
            </w:r>
          </w:p>
          <w:p w:rsidR="00EF4EC1" w:rsidRDefault="00EF4EC1" w:rsidP="00EF4EC1">
            <w:pPr>
              <w:pStyle w:val="Slide4"/>
              <w:rPr>
                <w:color w:val="0000FF"/>
              </w:rPr>
            </w:pPr>
            <w:r w:rsidRPr="00E331FB" w:rsidDel="00C721DA">
              <w:rPr>
                <w:color w:val="0000FF"/>
              </w:rPr>
              <w:t xml:space="preserve"> </w:t>
            </w:r>
            <w:r w:rsidRPr="00E331FB">
              <w:rPr>
                <w:color w:val="0000FF"/>
              </w:rPr>
              <w:t>(</w:t>
            </w:r>
            <w:r>
              <w:rPr>
                <w:color w:val="0000FF"/>
              </w:rPr>
              <w:t>a</w:t>
            </w:r>
            <w:r w:rsidRPr="00E331FB">
              <w:rPr>
                <w:color w:val="0000FF"/>
              </w:rPr>
              <w:t>)</w:t>
            </w:r>
            <w:r w:rsidRPr="00E331FB">
              <w:rPr>
                <w:color w:val="0000FF"/>
              </w:rPr>
              <w:tab/>
              <w:t xml:space="preserve">if the judge’s period of service as a judge began before 21 August 1996 – </w:t>
            </w:r>
            <w:r>
              <w:rPr>
                <w:color w:val="0000FF"/>
              </w:rPr>
              <w:t>the</w:t>
            </w:r>
            <w:r w:rsidRPr="00E331FB">
              <w:rPr>
                <w:color w:val="0000FF"/>
              </w:rPr>
              <w:t xml:space="preserve"> part of the period of service that began on that date</w:t>
            </w:r>
            <w:r>
              <w:rPr>
                <w:color w:val="0000FF"/>
              </w:rPr>
              <w:t>; or</w:t>
            </w:r>
          </w:p>
          <w:p w:rsidR="00EF4EC1" w:rsidRPr="00E331FB" w:rsidRDefault="00EF4EC1" w:rsidP="00EF4EC1">
            <w:pPr>
              <w:pStyle w:val="Slide4"/>
              <w:rPr>
                <w:color w:val="0000FF"/>
              </w:rPr>
            </w:pPr>
            <w:r w:rsidRPr="00E331FB">
              <w:rPr>
                <w:color w:val="0000FF"/>
              </w:rPr>
              <w:t>(a)</w:t>
            </w:r>
            <w:r w:rsidRPr="00E331FB">
              <w:rPr>
                <w:color w:val="0000FF"/>
              </w:rPr>
              <w:tab/>
            </w:r>
            <w:r>
              <w:rPr>
                <w:color w:val="0000FF"/>
              </w:rPr>
              <w:t xml:space="preserve">otherwise </w:t>
            </w:r>
            <w:r w:rsidRPr="00E331FB">
              <w:rPr>
                <w:color w:val="0000FF"/>
              </w:rPr>
              <w:t>– the judge’s period of service as a judge; or</w:t>
            </w:r>
          </w:p>
          <w:p w:rsidR="00EF4EC1" w:rsidRPr="00E331FB" w:rsidRDefault="00EF4EC1" w:rsidP="00EF4EC1">
            <w:pPr>
              <w:pStyle w:val="Slide3"/>
              <w:tabs>
                <w:tab w:val="clear" w:pos="1021"/>
              </w:tabs>
              <w:rPr>
                <w:color w:val="0000FF"/>
              </w:rPr>
            </w:pPr>
            <w:r w:rsidRPr="00E331FB">
              <w:rPr>
                <w:color w:val="0000FF"/>
              </w:rPr>
              <w:t>y</w:t>
            </w:r>
            <w:r w:rsidRPr="00E331FB">
              <w:rPr>
                <w:color w:val="0000FF"/>
              </w:rPr>
              <w:tab/>
              <w:t>means:</w:t>
            </w:r>
          </w:p>
          <w:p w:rsidR="00EF4EC1" w:rsidRDefault="00EF4EC1" w:rsidP="00EF4EC1">
            <w:pPr>
              <w:pStyle w:val="Slide4"/>
              <w:rPr>
                <w:color w:val="0000FF"/>
              </w:rPr>
            </w:pPr>
            <w:r w:rsidRPr="00E331FB">
              <w:rPr>
                <w:color w:val="0000FF"/>
              </w:rPr>
              <w:t>(a)</w:t>
            </w:r>
            <w:r w:rsidRPr="00E331FB">
              <w:rPr>
                <w:color w:val="0000FF"/>
              </w:rPr>
              <w:tab/>
              <w:t>if paragraph (b) does not apply – the number of financial years included in the relevant period in relation to the judge; or</w:t>
            </w:r>
            <w:r>
              <w:rPr>
                <w:color w:val="0000FF"/>
              </w:rPr>
              <w:t xml:space="preserve"> </w:t>
            </w:r>
          </w:p>
          <w:p w:rsidR="00EF4EC1" w:rsidRPr="00E331FB" w:rsidRDefault="00EF4EC1" w:rsidP="00EF4EC1">
            <w:pPr>
              <w:pStyle w:val="Slide4"/>
              <w:rPr>
                <w:color w:val="0000FF"/>
              </w:rPr>
            </w:pPr>
            <w:r w:rsidRPr="00E331FB">
              <w:rPr>
                <w:color w:val="0000FF"/>
              </w:rPr>
              <w:t>(b)</w:t>
            </w:r>
            <w:r w:rsidRPr="00E331FB">
              <w:rPr>
                <w:color w:val="0000FF"/>
              </w:rPr>
              <w:tab/>
              <w:t>if the judge becomes entitled to a pension because the Attorney</w:t>
            </w:r>
            <w:r>
              <w:rPr>
                <w:color w:val="0000FF"/>
              </w:rPr>
              <w:noBreakHyphen/>
            </w:r>
            <w:r w:rsidRPr="00E331FB">
              <w:rPr>
                <w:color w:val="0000FF"/>
              </w:rPr>
              <w:t>General certifies under section 6(2) that the judge’s retirement is due to permanent disability or infirmity – the number of financial years included in the qualifying period for a pension in relation to the judge, less the number of years in the judge’s period of exempt service.</w:t>
            </w:r>
          </w:p>
        </w:tc>
      </w:tr>
      <w:tr w:rsidR="00EF4EC1" w:rsidRPr="00525396" w:rsidTr="00EF4EC1">
        <w:trPr>
          <w:cantSplit/>
        </w:trPr>
        <w:tc>
          <w:tcPr>
            <w:tcW w:w="8505" w:type="dxa"/>
            <w:shd w:val="clear" w:color="auto" w:fill="FFFFFF"/>
          </w:tcPr>
          <w:p w:rsidR="00EF4EC1" w:rsidRPr="00E331FB" w:rsidRDefault="00EF4EC1" w:rsidP="00EF4EC1">
            <w:pPr>
              <w:pStyle w:val="Slide2"/>
              <w:rPr>
                <w:i/>
                <w:color w:val="0000FF"/>
              </w:rPr>
            </w:pPr>
            <w:r w:rsidRPr="00E331FB">
              <w:rPr>
                <w:i/>
                <w:color w:val="0000FF"/>
              </w:rPr>
              <w:lastRenderedPageBreak/>
              <w:t>Alternative 1</w:t>
            </w:r>
          </w:p>
          <w:p w:rsidR="00EF4EC1" w:rsidRPr="00E331FB" w:rsidRDefault="00EF4EC1" w:rsidP="00EF4EC1">
            <w:pPr>
              <w:pStyle w:val="Slide1"/>
              <w:keepNext w:val="0"/>
              <w:rPr>
                <w:color w:val="0000FF"/>
              </w:rPr>
            </w:pPr>
            <w:r w:rsidRPr="00E331FB">
              <w:rPr>
                <w:color w:val="0000FF"/>
              </w:rPr>
              <w:t>6A</w:t>
            </w:r>
            <w:r w:rsidRPr="00E331FB">
              <w:rPr>
                <w:color w:val="0000FF"/>
              </w:rPr>
              <w:tab/>
              <w:t>Rate of pension – judge’s surcharge debt account not in debit</w:t>
            </w:r>
          </w:p>
          <w:p w:rsidR="00EF4EC1" w:rsidRPr="00E331FB" w:rsidRDefault="00EF4EC1" w:rsidP="00EF4EC1">
            <w:pPr>
              <w:pStyle w:val="Slide2"/>
              <w:rPr>
                <w:color w:val="0000FF"/>
              </w:rPr>
            </w:pPr>
            <w:r w:rsidRPr="00E331FB">
              <w:rPr>
                <w:color w:val="0000FF"/>
              </w:rPr>
              <w:t>(1)</w:t>
            </w:r>
            <w:r w:rsidRPr="00E331FB">
              <w:rPr>
                <w:color w:val="0000FF"/>
              </w:rPr>
              <w:tab/>
              <w:t>This section applies to a judge if the judge’s surcharge debt account is not in debit when a pension becomes payable to him or her.</w:t>
            </w:r>
          </w:p>
          <w:p w:rsidR="00EF4EC1" w:rsidRPr="00E331FB" w:rsidRDefault="00EF4EC1" w:rsidP="00EF4EC1">
            <w:pPr>
              <w:pStyle w:val="Slide2"/>
              <w:rPr>
                <w:color w:val="0000FF"/>
              </w:rPr>
            </w:pPr>
            <w:r w:rsidRPr="00E331FB">
              <w:rPr>
                <w:color w:val="0000FF"/>
              </w:rPr>
              <w:t>(2)</w:t>
            </w:r>
            <w:r w:rsidRPr="00E331FB">
              <w:rPr>
                <w:color w:val="0000FF"/>
              </w:rPr>
              <w:tab/>
              <w:t>The annual rate of pension is calculated in accordance with the formula:</w:t>
            </w:r>
          </w:p>
          <w:p w:rsidR="00EF4EC1" w:rsidRPr="00E331FB" w:rsidRDefault="00EF4EC1" w:rsidP="00EF4EC1">
            <w:pPr>
              <w:pStyle w:val="SlideEquation"/>
              <w:spacing w:before="120"/>
              <w:rPr>
                <w:color w:val="0000FF"/>
                <w:oMath/>
              </w:rPr>
            </w:pPr>
            <m:oMathPara>
              <m:oMathParaPr>
                <m:jc m:val="left"/>
              </m:oMathParaPr>
              <m:oMath>
                <m:r>
                  <m:rPr>
                    <m:nor/>
                  </m:rPr>
                  <w:rPr>
                    <w:color w:val="0000FF"/>
                  </w:rPr>
                  <m:t>b</m:t>
                </m:r>
                <m:r>
                  <m:rPr>
                    <m:nor/>
                  </m:rPr>
                  <w:rPr>
                    <w:rFonts w:ascii="Cambria Math"/>
                    <w:color w:val="0000FF"/>
                  </w:rPr>
                  <m:t xml:space="preserve"> = </m:t>
                </m:r>
                <m:r>
                  <m:rPr>
                    <m:nor/>
                  </m:rPr>
                  <w:rPr>
                    <w:color w:val="0000FF"/>
                  </w:rPr>
                  <m:t>s</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r</m:t>
                    </m:r>
                  </m:num>
                  <m:den>
                    <m:r>
                      <m:rPr>
                        <m:nor/>
                      </m:rPr>
                      <w:rPr>
                        <w:color w:val="0000FF"/>
                      </w:rPr>
                      <m:t>200</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n</m:t>
                    </m:r>
                  </m:num>
                  <m:den>
                    <m:r>
                      <m:rPr>
                        <m:nor/>
                      </m:rPr>
                      <w:rPr>
                        <w:color w:val="0000FF"/>
                      </w:rPr>
                      <m:t>10</m:t>
                    </m:r>
                  </m:den>
                </m:f>
              </m:oMath>
            </m:oMathPara>
          </w:p>
          <w:p w:rsidR="00EF4EC1" w:rsidRPr="00E331FB" w:rsidRDefault="00EF4EC1" w:rsidP="00EF4EC1">
            <w:pPr>
              <w:pStyle w:val="Slide3"/>
              <w:rPr>
                <w:color w:val="0000FF"/>
              </w:rPr>
            </w:pPr>
            <w:r w:rsidRPr="00E331FB">
              <w:rPr>
                <w:color w:val="0000FF"/>
              </w:rPr>
              <w:t>where:</w:t>
            </w:r>
          </w:p>
          <w:p w:rsidR="00EF4EC1" w:rsidRDefault="00EF4EC1" w:rsidP="00EF4EC1">
            <w:pPr>
              <w:pStyle w:val="Slide3"/>
              <w:rPr>
                <w:color w:val="0000FF"/>
              </w:rPr>
            </w:pPr>
            <w:r>
              <w:rPr>
                <w:color w:val="0000FF"/>
              </w:rPr>
              <w:t>b</w:t>
            </w:r>
            <w:r>
              <w:rPr>
                <w:color w:val="0000FF"/>
              </w:rPr>
              <w:tab/>
              <w:t>=</w:t>
            </w:r>
            <w:r>
              <w:rPr>
                <w:color w:val="0000FF"/>
              </w:rPr>
              <w:tab/>
              <w:t>basic pension</w:t>
            </w:r>
          </w:p>
          <w:p w:rsidR="00EF4EC1" w:rsidRPr="00E331FB" w:rsidRDefault="00EF4EC1" w:rsidP="00EF4EC1">
            <w:pPr>
              <w:pStyle w:val="Slide3"/>
              <w:rPr>
                <w:color w:val="0000FF"/>
              </w:rPr>
            </w:pPr>
            <w:r w:rsidRPr="00E331FB">
              <w:rPr>
                <w:color w:val="0000FF"/>
              </w:rPr>
              <w:t>s</w:t>
            </w:r>
            <w:r w:rsidRPr="00E331FB">
              <w:rPr>
                <w:color w:val="0000FF"/>
              </w:rPr>
              <w:tab/>
              <w:t>=</w:t>
            </w:r>
            <w:r w:rsidRPr="00E331FB">
              <w:rPr>
                <w:color w:val="0000FF"/>
              </w:rPr>
              <w:tab/>
              <w:t>current judicial salary</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if judge entitled to pension under section 6(1), (2), or (2A), then r</w:t>
            </w:r>
            <w:r>
              <w:rPr>
                <w:color w:val="0000FF"/>
              </w:rPr>
              <w:t xml:space="preserve"> </w:t>
            </w:r>
            <w:r w:rsidRPr="00E331FB">
              <w:rPr>
                <w:color w:val="0000FF"/>
              </w:rPr>
              <w:t>=</w:t>
            </w:r>
            <w:r>
              <w:rPr>
                <w:color w:val="0000FF"/>
              </w:rPr>
              <w:t xml:space="preserve"> </w:t>
            </w:r>
            <w:r w:rsidRPr="00E331FB">
              <w:rPr>
                <w:color w:val="0000FF"/>
              </w:rPr>
              <w:t>120</w:t>
            </w:r>
          </w:p>
          <w:p w:rsidR="00EF4EC1" w:rsidRPr="00E331FB" w:rsidRDefault="00EF4EC1" w:rsidP="00EF4EC1">
            <w:pPr>
              <w:pStyle w:val="Slide3"/>
              <w:tabs>
                <w:tab w:val="clear" w:pos="1021"/>
              </w:tabs>
              <w:rPr>
                <w:color w:val="0000FF"/>
              </w:rPr>
            </w:pPr>
            <w:r w:rsidRPr="00E331FB">
              <w:rPr>
                <w:color w:val="0000FF"/>
              </w:rPr>
              <w:tab/>
              <w:t>if judge entitled to pension under section 6(2D), then:</w:t>
            </w:r>
          </w:p>
          <w:p w:rsidR="00EF4EC1" w:rsidRPr="00E331FB" w:rsidRDefault="00EF4EC1" w:rsidP="00EF4EC1">
            <w:pPr>
              <w:pStyle w:val="Slide4"/>
              <w:spacing w:before="60"/>
              <w:rPr>
                <w:color w:val="0000FF"/>
              </w:rPr>
            </w:pPr>
            <w:r w:rsidRPr="00E331FB">
              <w:rPr>
                <w:color w:val="0000FF"/>
              </w:rPr>
              <w:tab/>
              <w:t>if m</w:t>
            </w:r>
            <w:r>
              <w:rPr>
                <w:color w:val="0000FF"/>
              </w:rPr>
              <w:t xml:space="preserve"> </w:t>
            </w:r>
            <w:r w:rsidRPr="00E331FB">
              <w:rPr>
                <w:color w:val="0000FF"/>
              </w:rPr>
              <w:t>&lt;</w:t>
            </w:r>
            <w:r>
              <w:rPr>
                <w:color w:val="0000FF"/>
              </w:rPr>
              <w:t xml:space="preserve"> </w:t>
            </w:r>
            <w:r w:rsidRPr="00E331FB">
              <w:rPr>
                <w:color w:val="0000FF"/>
              </w:rPr>
              <w:t>120, then r</w:t>
            </w:r>
            <w:r>
              <w:rPr>
                <w:color w:val="0000FF"/>
              </w:rPr>
              <w:t xml:space="preserve"> </w:t>
            </w:r>
            <w:r w:rsidRPr="00E331FB">
              <w:rPr>
                <w:color w:val="0000FF"/>
              </w:rPr>
              <w:t>=</w:t>
            </w:r>
            <w:r>
              <w:rPr>
                <w:color w:val="0000FF"/>
              </w:rPr>
              <w:t xml:space="preserve"> </w:t>
            </w:r>
            <w:r w:rsidRPr="00E331FB">
              <w:rPr>
                <w:color w:val="0000FF"/>
              </w:rPr>
              <w:t>m</w:t>
            </w:r>
          </w:p>
          <w:p w:rsidR="00EF4EC1" w:rsidRPr="00E331FB" w:rsidRDefault="00EF4EC1" w:rsidP="00EF4EC1">
            <w:pPr>
              <w:pStyle w:val="Slide4"/>
              <w:spacing w:before="60"/>
              <w:rPr>
                <w:color w:val="0000FF"/>
              </w:rPr>
            </w:pPr>
            <w:r w:rsidRPr="00E331FB">
              <w:rPr>
                <w:color w:val="0000FF"/>
              </w:rPr>
              <w:tab/>
              <w:t>If m</w:t>
            </w:r>
            <w:r>
              <w:rPr>
                <w:color w:val="0000FF"/>
              </w:rPr>
              <w:t xml:space="preserve"> </w:t>
            </w:r>
            <w:r w:rsidRPr="00E331FB">
              <w:rPr>
                <w:color w:val="0000FF"/>
              </w:rPr>
              <w:t>≥</w:t>
            </w:r>
            <w:r>
              <w:rPr>
                <w:color w:val="0000FF"/>
              </w:rPr>
              <w:t xml:space="preserve"> </w:t>
            </w:r>
            <w:r w:rsidRPr="00E331FB">
              <w:rPr>
                <w:color w:val="0000FF"/>
              </w:rPr>
              <w:t>120, then r</w:t>
            </w:r>
            <w:r>
              <w:rPr>
                <w:color w:val="0000FF"/>
              </w:rPr>
              <w:t xml:space="preserve"> </w:t>
            </w:r>
            <w:r w:rsidRPr="00E331FB">
              <w:rPr>
                <w:color w:val="0000FF"/>
              </w:rPr>
              <w:t>=</w:t>
            </w:r>
            <w:r>
              <w:rPr>
                <w:color w:val="0000FF"/>
              </w:rPr>
              <w:t xml:space="preserve"> </w:t>
            </w:r>
            <w:r w:rsidRPr="00E331FB">
              <w:rPr>
                <w:color w:val="0000FF"/>
              </w:rPr>
              <w:t>120</w:t>
            </w:r>
          </w:p>
          <w:p w:rsidR="00EF4EC1" w:rsidRPr="00E331FB" w:rsidRDefault="00EF4EC1" w:rsidP="00EF4EC1">
            <w:pPr>
              <w:pStyle w:val="Slide3"/>
              <w:rPr>
                <w:color w:val="0000FF"/>
              </w:rPr>
            </w:pPr>
            <w:r w:rsidRPr="00E331FB">
              <w:rPr>
                <w:color w:val="0000FF"/>
              </w:rPr>
              <w:t>m</w:t>
            </w:r>
            <w:r w:rsidRPr="00E331FB">
              <w:rPr>
                <w:color w:val="0000FF"/>
              </w:rPr>
              <w:tab/>
              <w:t>=</w:t>
            </w:r>
            <w:r w:rsidRPr="00E331FB">
              <w:rPr>
                <w:color w:val="0000FF"/>
              </w:rPr>
              <w:tab/>
              <w:t>complete months of service as a judge</w:t>
            </w:r>
          </w:p>
          <w:p w:rsidR="00EF4EC1" w:rsidRPr="00E331FB" w:rsidRDefault="00EF4EC1" w:rsidP="00EF4EC1">
            <w:pPr>
              <w:pStyle w:val="Slide3"/>
              <w:rPr>
                <w:color w:val="0000FF"/>
              </w:rPr>
            </w:pPr>
            <w:r w:rsidRPr="00E331FB">
              <w:rPr>
                <w:color w:val="0000FF"/>
              </w:rPr>
              <w:t>n</w:t>
            </w:r>
            <w:r w:rsidRPr="00E331FB">
              <w:rPr>
                <w:color w:val="0000FF"/>
              </w:rPr>
              <w:tab/>
              <w:t>=</w:t>
            </w:r>
            <w:r w:rsidRPr="00E331FB">
              <w:rPr>
                <w:color w:val="0000FF"/>
              </w:rPr>
              <w:tab/>
              <w:t>if judge entitled to pension under section 6(1), (2), or (2A)(a), or (2D),</w:t>
            </w:r>
            <w:r w:rsidRPr="00E331FB">
              <w:rPr>
                <w:color w:val="0000FF"/>
              </w:rPr>
              <w:br/>
              <w:t>then n</w:t>
            </w:r>
            <w:r>
              <w:rPr>
                <w:color w:val="0000FF"/>
              </w:rPr>
              <w:t xml:space="preserve"> </w:t>
            </w:r>
            <w:r w:rsidRPr="00E331FB">
              <w:rPr>
                <w:color w:val="0000FF"/>
              </w:rPr>
              <w:t>=</w:t>
            </w:r>
            <w:r>
              <w:rPr>
                <w:color w:val="0000FF"/>
              </w:rPr>
              <w:t xml:space="preserve"> </w:t>
            </w:r>
            <w:r w:rsidRPr="00E331FB">
              <w:rPr>
                <w:color w:val="0000FF"/>
              </w:rPr>
              <w:t>10</w:t>
            </w:r>
          </w:p>
          <w:p w:rsidR="00EF4EC1" w:rsidRPr="00E331FB" w:rsidRDefault="00EF4EC1" w:rsidP="00EF4EC1">
            <w:pPr>
              <w:pStyle w:val="Slide3"/>
              <w:rPr>
                <w:color w:val="0000FF"/>
              </w:rPr>
            </w:pPr>
            <w:r w:rsidRPr="00E331FB">
              <w:rPr>
                <w:color w:val="0000FF"/>
              </w:rPr>
              <w:tab/>
            </w:r>
            <w:r w:rsidRPr="00E331FB">
              <w:rPr>
                <w:color w:val="0000FF"/>
              </w:rPr>
              <w:tab/>
              <w:t>if judge entitled to pension under section 6(2A)(b), then:</w:t>
            </w:r>
          </w:p>
          <w:p w:rsidR="00EF4EC1" w:rsidRPr="00E331FB" w:rsidRDefault="00EF4EC1" w:rsidP="00EF4EC1">
            <w:pPr>
              <w:pStyle w:val="Slide4"/>
              <w:spacing w:before="60"/>
              <w:rPr>
                <w:color w:val="0000FF"/>
              </w:rPr>
            </w:pPr>
            <w:r w:rsidRPr="00E331FB">
              <w:rPr>
                <w:color w:val="0000FF"/>
              </w:rPr>
              <w:tab/>
              <w:t>if y</w:t>
            </w:r>
            <w:r>
              <w:rPr>
                <w:color w:val="0000FF"/>
              </w:rPr>
              <w:t xml:space="preserve"> </w:t>
            </w:r>
            <w:r w:rsidRPr="00E331FB">
              <w:rPr>
                <w:color w:val="0000FF"/>
              </w:rPr>
              <w:t>≥</w:t>
            </w:r>
            <w:r>
              <w:rPr>
                <w:color w:val="0000FF"/>
              </w:rPr>
              <w:t xml:space="preserve"> </w:t>
            </w:r>
            <w:r w:rsidRPr="00E331FB">
              <w:rPr>
                <w:color w:val="0000FF"/>
              </w:rPr>
              <w:t>10, then n</w:t>
            </w:r>
            <w:r>
              <w:rPr>
                <w:color w:val="0000FF"/>
              </w:rPr>
              <w:t xml:space="preserve"> </w:t>
            </w:r>
            <w:r w:rsidRPr="00E331FB">
              <w:rPr>
                <w:color w:val="0000FF"/>
              </w:rPr>
              <w:t>=</w:t>
            </w:r>
            <w:r>
              <w:rPr>
                <w:color w:val="0000FF"/>
              </w:rPr>
              <w:t xml:space="preserve"> </w:t>
            </w:r>
            <w:r w:rsidRPr="00E331FB">
              <w:rPr>
                <w:color w:val="0000FF"/>
              </w:rPr>
              <w:t>10</w:t>
            </w:r>
          </w:p>
          <w:p w:rsidR="00EF4EC1" w:rsidRPr="00E331FB" w:rsidRDefault="00EF4EC1" w:rsidP="00EF4EC1">
            <w:pPr>
              <w:pStyle w:val="Slide4"/>
              <w:spacing w:before="60"/>
              <w:rPr>
                <w:color w:val="0000FF"/>
              </w:rPr>
            </w:pPr>
            <w:r w:rsidRPr="00E331FB">
              <w:rPr>
                <w:color w:val="0000FF"/>
              </w:rPr>
              <w:tab/>
              <w:t>if y</w:t>
            </w:r>
            <w:r>
              <w:rPr>
                <w:color w:val="0000FF"/>
              </w:rPr>
              <w:t xml:space="preserve"> </w:t>
            </w:r>
            <w:r w:rsidRPr="00E331FB">
              <w:rPr>
                <w:color w:val="0000FF"/>
              </w:rPr>
              <w:t>&lt;</w:t>
            </w:r>
            <w:r>
              <w:rPr>
                <w:color w:val="0000FF"/>
              </w:rPr>
              <w:t xml:space="preserve"> </w:t>
            </w:r>
            <w:r w:rsidRPr="00E331FB">
              <w:rPr>
                <w:color w:val="0000FF"/>
              </w:rPr>
              <w:t>10, then n</w:t>
            </w:r>
            <w:r>
              <w:rPr>
                <w:color w:val="0000FF"/>
              </w:rPr>
              <w:t xml:space="preserve"> </w:t>
            </w:r>
            <w:r w:rsidRPr="00E331FB">
              <w:rPr>
                <w:color w:val="0000FF"/>
              </w:rPr>
              <w:t>=</w:t>
            </w:r>
            <w:r>
              <w:rPr>
                <w:color w:val="0000FF"/>
              </w:rPr>
              <w:t xml:space="preserve"> </w:t>
            </w:r>
            <w:r w:rsidRPr="00E331FB">
              <w:rPr>
                <w:color w:val="0000FF"/>
              </w:rPr>
              <w:t>y</w:t>
            </w:r>
          </w:p>
          <w:p w:rsidR="00EF4EC1" w:rsidRPr="00E331FB" w:rsidRDefault="00EF4EC1" w:rsidP="00EF4EC1">
            <w:pPr>
              <w:pStyle w:val="Slide3"/>
              <w:rPr>
                <w:color w:val="0000FF"/>
              </w:rPr>
            </w:pPr>
            <w:r w:rsidRPr="00E331FB">
              <w:rPr>
                <w:color w:val="0000FF"/>
              </w:rPr>
              <w:t>y</w:t>
            </w:r>
            <w:r w:rsidRPr="00E331FB">
              <w:rPr>
                <w:color w:val="0000FF"/>
              </w:rPr>
              <w:tab/>
              <w:t>=</w:t>
            </w:r>
            <w:r w:rsidRPr="00E331FB">
              <w:rPr>
                <w:color w:val="0000FF"/>
              </w:rPr>
              <w:tab/>
              <w:t>years of service as a judge</w:t>
            </w:r>
            <w:r>
              <w:rPr>
                <w:color w:val="0000FF"/>
              </w:rPr>
              <w:t xml:space="preserve"> plus years of leave certified by </w:t>
            </w:r>
            <w:r w:rsidRPr="00E331FB">
              <w:rPr>
                <w:color w:val="0000FF"/>
              </w:rPr>
              <w:t>Attorney</w:t>
            </w:r>
            <w:r>
              <w:rPr>
                <w:color w:val="0000FF"/>
              </w:rPr>
              <w:noBreakHyphen/>
            </w:r>
            <w:r w:rsidRPr="00E331FB">
              <w:rPr>
                <w:color w:val="0000FF"/>
              </w:rPr>
              <w:t xml:space="preserve">General </w:t>
            </w:r>
            <w:r>
              <w:rPr>
                <w:color w:val="0000FF"/>
              </w:rPr>
              <w:t xml:space="preserve">to be due to </w:t>
            </w:r>
            <w:r w:rsidRPr="00E331FB">
              <w:rPr>
                <w:color w:val="0000FF"/>
              </w:rPr>
              <w:t>judge immediately before retirement</w:t>
            </w:r>
            <w:r>
              <w:rPr>
                <w:color w:val="0000FF"/>
              </w:rPr>
              <w:t>.</w:t>
            </w:r>
          </w:p>
          <w:p w:rsidR="00EF4EC1" w:rsidRPr="00E331FB" w:rsidRDefault="00EF4EC1" w:rsidP="00EF4EC1">
            <w:pPr>
              <w:pStyle w:val="Slide1"/>
              <w:keepNext w:val="0"/>
              <w:rPr>
                <w:color w:val="0000FF"/>
              </w:rPr>
            </w:pPr>
            <w:r w:rsidRPr="00E331FB">
              <w:rPr>
                <w:color w:val="0000FF"/>
              </w:rPr>
              <w:t>6B</w:t>
            </w:r>
            <w:r w:rsidRPr="00E331FB">
              <w:rPr>
                <w:color w:val="0000FF"/>
              </w:rPr>
              <w:tab/>
              <w:t>Rate of pension – judge’s surcharge debt account in debit</w:t>
            </w:r>
          </w:p>
          <w:p w:rsidR="00EF4EC1" w:rsidRPr="00E331FB" w:rsidRDefault="00EF4EC1" w:rsidP="00EF4EC1">
            <w:pPr>
              <w:pStyle w:val="Slide2"/>
              <w:rPr>
                <w:color w:val="0000FF"/>
              </w:rPr>
            </w:pPr>
            <w:r w:rsidRPr="00E331FB">
              <w:rPr>
                <w:color w:val="0000FF"/>
              </w:rPr>
              <w:t>(1)</w:t>
            </w:r>
            <w:r w:rsidRPr="00E331FB">
              <w:rPr>
                <w:color w:val="0000FF"/>
              </w:rPr>
              <w:tab/>
              <w:t>This section applies to a judge if the judge’s surcharge debt account is in debit when a pension becomes payable to him or her.</w:t>
            </w:r>
          </w:p>
          <w:p w:rsidR="00EF4EC1" w:rsidRPr="00E331FB" w:rsidRDefault="00EF4EC1" w:rsidP="00EF4EC1">
            <w:pPr>
              <w:pStyle w:val="Slide2"/>
              <w:rPr>
                <w:color w:val="0000FF"/>
              </w:rPr>
            </w:pPr>
            <w:r w:rsidRPr="00E331FB">
              <w:rPr>
                <w:color w:val="0000FF"/>
              </w:rPr>
              <w:t>(2)</w:t>
            </w:r>
            <w:r w:rsidRPr="00E331FB">
              <w:rPr>
                <w:color w:val="0000FF"/>
              </w:rPr>
              <w:tab/>
              <w:t>The annual rate of the pension to which the judge is entitled is to be calculated in accordance with the formula:</w:t>
            </w:r>
          </w:p>
          <w:p w:rsidR="00EF4EC1" w:rsidRPr="00E331FB" w:rsidRDefault="00EF4EC1" w:rsidP="00EF4EC1">
            <w:pPr>
              <w:pStyle w:val="Slide2"/>
              <w:rPr>
                <w:color w:val="0000FF"/>
                <w:oMath/>
              </w:rPr>
            </w:pPr>
            <m:oMathPara>
              <m:oMathParaPr>
                <m:jc m:val="left"/>
              </m:oMathParaPr>
              <m:oMath>
                <m:r>
                  <m:rPr>
                    <m:nor/>
                  </m:rPr>
                  <w:rPr>
                    <w:color w:val="0000FF"/>
                  </w:rPr>
                  <m:t>p</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b</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k</m:t>
                        </m:r>
                      </m:num>
                      <m:den>
                        <m:r>
                          <m:rPr>
                            <m:nor/>
                          </m:rPr>
                          <w:rPr>
                            <w:color w:val="0000FF"/>
                          </w:rPr>
                          <m:t>q</m:t>
                        </m:r>
                      </m:den>
                    </m:f>
                  </m:e>
                </m:d>
                <m:r>
                  <w:rPr>
                    <w:rFonts w:ascii="Cambria Math" w:hAnsi="Cambria Math"/>
                    <w:color w:val="0000FF"/>
                  </w:rPr>
                  <m:t xml:space="preserve"> +</m:t>
                </m:r>
                <m:d>
                  <m:dPr>
                    <m:begChr m:val="{"/>
                    <m:endChr m:val="}"/>
                    <m:ctrlPr>
                      <w:rPr>
                        <w:rFonts w:ascii="Cambria Math" w:hAnsi="Cambria Math"/>
                        <w:i/>
                        <w:color w:val="0000FF"/>
                      </w:rPr>
                    </m:ctrlPr>
                  </m:dPr>
                  <m:e>
                    <m:r>
                      <w:rPr>
                        <w:rFonts w:ascii="Cambria Math" w:hAnsi="Cambria Math"/>
                        <w:color w:val="0000FF"/>
                      </w:rPr>
                      <m:t xml:space="preserve"> </m:t>
                    </m:r>
                    <m:d>
                      <m:dPr>
                        <m:begChr m:val="["/>
                        <m:endChr m:val="]"/>
                        <m:ctrlPr>
                          <w:rPr>
                            <w:rFonts w:ascii="Cambria Math" w:hAnsi="Cambria Math"/>
                            <w:i/>
                            <w:color w:val="0000FF"/>
                          </w:rPr>
                        </m:ctrlPr>
                      </m:dPr>
                      <m:e>
                        <m:r>
                          <m:rPr>
                            <m:nor/>
                          </m:rPr>
                          <w:rPr>
                            <w:color w:val="0000FF"/>
                          </w:rPr>
                          <m:t>b</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1</m:t>
                            </m:r>
                            <m:r>
                              <m:rPr>
                                <m:sty m:val="p"/>
                              </m:rPr>
                              <w:rPr>
                                <w:rFonts w:ascii="Cambria Math" w:hAnsi="Cambria Math"/>
                                <w:color w:val="0000FF"/>
                              </w:rPr>
                              <m:t>-</m:t>
                            </m:r>
                            <m:f>
                              <m:fPr>
                                <m:ctrlPr>
                                  <w:rPr>
                                    <w:rFonts w:ascii="Cambria Math" w:hAnsi="Cambria Math"/>
                                    <w:i/>
                                    <w:color w:val="0000FF"/>
                                  </w:rPr>
                                </m:ctrlPr>
                              </m:fPr>
                              <m:num>
                                <m:r>
                                  <m:rPr>
                                    <m:nor/>
                                  </m:rPr>
                                  <w:rPr>
                                    <w:color w:val="0000FF"/>
                                  </w:rPr>
                                  <m:t>k</m:t>
                                </m:r>
                              </m:num>
                              <m:den>
                                <m:r>
                                  <m:rPr>
                                    <m:nor/>
                                  </m:rPr>
                                  <w:rPr>
                                    <w:color w:val="0000FF"/>
                                  </w:rPr>
                                  <m:t>q</m:t>
                                </m:r>
                              </m:den>
                            </m:f>
                          </m:e>
                        </m:d>
                        <m:r>
                          <w:rPr>
                            <w:rFonts w:ascii="Cambria Math" w:hAnsi="Cambria Math"/>
                            <w:color w:val="0000FF"/>
                          </w:rPr>
                          <m:t xml:space="preserve"> </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1</m:t>
                        </m:r>
                        <m:r>
                          <m:rPr>
                            <m:sty m:val="p"/>
                          </m:rPr>
                          <w:rPr>
                            <w:rFonts w:ascii="Cambria Math" w:hAnsi="Cambria Math"/>
                            <w:color w:val="0000FF"/>
                          </w:rPr>
                          <m:t>-</m:t>
                        </m:r>
                        <m:f>
                          <m:fPr>
                            <m:ctrlPr>
                              <w:rPr>
                                <w:rFonts w:ascii="Cambria Math" w:hAnsi="Cambria Math"/>
                                <w:i/>
                                <w:color w:val="0000FF"/>
                              </w:rPr>
                            </m:ctrlPr>
                          </m:fPr>
                          <m:num>
                            <m:nary>
                              <m:naryPr>
                                <m:chr m:val="∑"/>
                                <m:limLoc m:val="undOvr"/>
                                <m:ctrlPr>
                                  <w:rPr>
                                    <w:rFonts w:ascii="Cambria Math" w:hAnsi="Cambria Math"/>
                                    <w:i/>
                                    <w:color w:val="0000FF"/>
                                  </w:rPr>
                                </m:ctrlPr>
                              </m:naryPr>
                              <m:sub>
                                <m:r>
                                  <m:rPr>
                                    <m:nor/>
                                  </m:rPr>
                                  <w:rPr>
                                    <w:color w:val="0000FF"/>
                                  </w:rPr>
                                  <m:t>n</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1</m:t>
                                </m:r>
                              </m:sub>
                              <m:sup>
                                <m:r>
                                  <m:rPr>
                                    <m:nor/>
                                  </m:rPr>
                                  <w:rPr>
                                    <w:color w:val="0000FF"/>
                                  </w:rPr>
                                  <m:t>f</m:t>
                                </m:r>
                              </m:sup>
                              <m:e>
                                <m:sSub>
                                  <m:sSubPr>
                                    <m:ctrlPr>
                                      <w:rPr>
                                        <w:rFonts w:ascii="Cambria Math" w:hAnsi="Cambria Math"/>
                                        <w:i/>
                                        <w:color w:val="0000FF"/>
                                      </w:rPr>
                                    </m:ctrlPr>
                                  </m:sSubPr>
                                  <m:e>
                                    <m:r>
                                      <m:rPr>
                                        <m:nor/>
                                      </m:rPr>
                                      <w:rPr>
                                        <w:color w:val="0000FF"/>
                                      </w:rPr>
                                      <m:t>c</m:t>
                                    </m:r>
                                  </m:e>
                                  <m:sub>
                                    <m:r>
                                      <m:rPr>
                                        <m:nor/>
                                      </m:rPr>
                                      <w:rPr>
                                        <w:color w:val="0000FF"/>
                                      </w:rPr>
                                      <m:t>n</m:t>
                                    </m:r>
                                  </m:sub>
                                </m:sSub>
                              </m:e>
                            </m:nary>
                          </m:num>
                          <m:den>
                            <m:r>
                              <m:rPr>
                                <m:nor/>
                              </m:rPr>
                              <w:rPr>
                                <w:color w:val="0000FF"/>
                              </w:rPr>
                              <m:t>f</m:t>
                            </m:r>
                          </m:den>
                        </m:f>
                      </m:e>
                    </m:d>
                    <m:r>
                      <w:rPr>
                        <w:rFonts w:ascii="Cambria Math" w:hAnsi="Cambria Math"/>
                        <w:color w:val="0000FF"/>
                      </w:rPr>
                      <m:t xml:space="preserve"> </m:t>
                    </m:r>
                  </m:e>
                </m:d>
              </m:oMath>
            </m:oMathPara>
          </w:p>
          <w:p w:rsidR="00EF4EC1" w:rsidRPr="00E331FB" w:rsidRDefault="00EF4EC1" w:rsidP="00EF4EC1">
            <w:pPr>
              <w:pStyle w:val="Slide3"/>
              <w:rPr>
                <w:color w:val="0000FF"/>
              </w:rPr>
            </w:pPr>
            <w:r w:rsidRPr="00E331FB">
              <w:rPr>
                <w:color w:val="0000FF"/>
              </w:rPr>
              <w:t>where</w:t>
            </w:r>
          </w:p>
          <w:p w:rsidR="00EF4EC1" w:rsidRDefault="00EF4EC1" w:rsidP="00EF4EC1">
            <w:pPr>
              <w:pStyle w:val="Slide3"/>
              <w:rPr>
                <w:color w:val="0000FF"/>
              </w:rPr>
            </w:pPr>
            <w:r>
              <w:rPr>
                <w:color w:val="0000FF"/>
              </w:rPr>
              <w:t>p</w:t>
            </w:r>
            <w:r>
              <w:rPr>
                <w:color w:val="0000FF"/>
              </w:rPr>
              <w:tab/>
              <w:t>=</w:t>
            </w:r>
            <w:r>
              <w:rPr>
                <w:color w:val="0000FF"/>
              </w:rPr>
              <w:tab/>
              <w:t>annual rate of pension</w:t>
            </w:r>
          </w:p>
          <w:p w:rsidR="00EF4EC1" w:rsidRPr="00E331FB" w:rsidRDefault="00EF4EC1" w:rsidP="00EF4EC1">
            <w:pPr>
              <w:pStyle w:val="Slide3"/>
              <w:rPr>
                <w:color w:val="0000FF"/>
              </w:rPr>
            </w:pPr>
            <w:r w:rsidRPr="00E331FB">
              <w:rPr>
                <w:color w:val="0000FF"/>
              </w:rPr>
              <w:t>b</w:t>
            </w:r>
            <w:r w:rsidRPr="00E331FB">
              <w:rPr>
                <w:color w:val="0000FF"/>
              </w:rPr>
              <w:tab/>
              <w:t>=</w:t>
            </w:r>
            <w:r w:rsidRPr="00E331FB">
              <w:rPr>
                <w:color w:val="0000FF"/>
              </w:rPr>
              <w:tab/>
              <w:t>basic pension calculated in accordance with the formula in section 6A(2)</w:t>
            </w:r>
          </w:p>
          <w:p w:rsidR="00EF4EC1" w:rsidRPr="00E331FB" w:rsidRDefault="00EF4EC1" w:rsidP="00EF4EC1">
            <w:pPr>
              <w:pStyle w:val="Slide3"/>
              <w:rPr>
                <w:color w:val="0000FF"/>
              </w:rPr>
            </w:pPr>
            <w:r w:rsidRPr="00E331FB">
              <w:rPr>
                <w:color w:val="0000FF"/>
              </w:rPr>
              <w:t>k</w:t>
            </w:r>
            <w:r w:rsidRPr="00E331FB">
              <w:rPr>
                <w:color w:val="0000FF"/>
              </w:rPr>
              <w:tab/>
              <w:t>=</w:t>
            </w:r>
            <w:r w:rsidRPr="00E331FB">
              <w:rPr>
                <w:color w:val="0000FF"/>
              </w:rPr>
              <w:tab/>
              <w:t>if e</w:t>
            </w:r>
            <w:r>
              <w:rPr>
                <w:color w:val="0000FF"/>
              </w:rPr>
              <w:t xml:space="preserve"> </w:t>
            </w:r>
            <w:r w:rsidRPr="00E331FB">
              <w:rPr>
                <w:color w:val="0000FF"/>
              </w:rPr>
              <w:t>&lt;</w:t>
            </w:r>
            <w:r>
              <w:rPr>
                <w:color w:val="0000FF"/>
              </w:rPr>
              <w:t xml:space="preserve"> </w:t>
            </w:r>
            <w:r w:rsidRPr="00E331FB">
              <w:rPr>
                <w:color w:val="0000FF"/>
              </w:rPr>
              <w:t>q, then k</w:t>
            </w:r>
            <w:r>
              <w:rPr>
                <w:color w:val="0000FF"/>
              </w:rPr>
              <w:t xml:space="preserve"> </w:t>
            </w:r>
            <w:r w:rsidRPr="00E331FB">
              <w:rPr>
                <w:color w:val="0000FF"/>
              </w:rPr>
              <w:t>=</w:t>
            </w:r>
            <w:r>
              <w:rPr>
                <w:color w:val="0000FF"/>
              </w:rPr>
              <w:t xml:space="preserve"> </w:t>
            </w:r>
            <w:r w:rsidRPr="00E331FB">
              <w:rPr>
                <w:color w:val="0000FF"/>
              </w:rPr>
              <w:t>e</w:t>
            </w:r>
          </w:p>
          <w:p w:rsidR="00EF4EC1" w:rsidRPr="00E331FB" w:rsidRDefault="00EF4EC1" w:rsidP="00EF4EC1">
            <w:pPr>
              <w:pStyle w:val="Slide4"/>
              <w:spacing w:before="60"/>
              <w:rPr>
                <w:color w:val="0000FF"/>
              </w:rPr>
            </w:pPr>
            <w:r w:rsidRPr="00E331FB">
              <w:rPr>
                <w:color w:val="0000FF"/>
              </w:rPr>
              <w:t>if e</w:t>
            </w:r>
            <w:r>
              <w:rPr>
                <w:color w:val="0000FF"/>
              </w:rPr>
              <w:t xml:space="preserve"> </w:t>
            </w:r>
            <w:r w:rsidRPr="00E331FB">
              <w:rPr>
                <w:color w:val="0000FF"/>
              </w:rPr>
              <w:t>≥</w:t>
            </w:r>
            <w:r>
              <w:rPr>
                <w:color w:val="0000FF"/>
              </w:rPr>
              <w:t xml:space="preserve"> </w:t>
            </w:r>
            <w:r w:rsidRPr="00E331FB">
              <w:rPr>
                <w:color w:val="0000FF"/>
              </w:rPr>
              <w:t>q, then k</w:t>
            </w:r>
            <w:r>
              <w:rPr>
                <w:color w:val="0000FF"/>
              </w:rPr>
              <w:t xml:space="preserve"> </w:t>
            </w:r>
            <w:r w:rsidRPr="00E331FB">
              <w:rPr>
                <w:color w:val="0000FF"/>
              </w:rPr>
              <w:t>=</w:t>
            </w:r>
            <w:r>
              <w:rPr>
                <w:color w:val="0000FF"/>
              </w:rPr>
              <w:t xml:space="preserve"> </w:t>
            </w:r>
            <w:r w:rsidRPr="00E331FB">
              <w:rPr>
                <w:color w:val="0000FF"/>
              </w:rPr>
              <w:t>q</w:t>
            </w:r>
          </w:p>
          <w:p w:rsidR="00EF4EC1" w:rsidRPr="00E331FB" w:rsidRDefault="00EF4EC1" w:rsidP="00EF4EC1">
            <w:pPr>
              <w:pStyle w:val="Slide3"/>
              <w:rPr>
                <w:color w:val="0000FF"/>
              </w:rPr>
            </w:pPr>
            <w:r w:rsidRPr="00E331FB">
              <w:rPr>
                <w:color w:val="0000FF"/>
              </w:rPr>
              <w:t>e</w:t>
            </w:r>
            <w:r w:rsidRPr="00E331FB">
              <w:rPr>
                <w:color w:val="0000FF"/>
              </w:rPr>
              <w:tab/>
              <w:t>=</w:t>
            </w:r>
            <w:r w:rsidRPr="00E331FB">
              <w:rPr>
                <w:color w:val="0000FF"/>
              </w:rPr>
              <w:tab/>
              <w:t>years in period of exempt service</w:t>
            </w:r>
          </w:p>
          <w:p w:rsidR="00EF4EC1" w:rsidRPr="00E331FB" w:rsidRDefault="00EF4EC1" w:rsidP="00EF4EC1">
            <w:pPr>
              <w:pStyle w:val="Slide3"/>
              <w:rPr>
                <w:color w:val="0000FF"/>
              </w:rPr>
            </w:pPr>
            <w:r w:rsidRPr="00E331FB">
              <w:rPr>
                <w:color w:val="0000FF"/>
              </w:rPr>
              <w:lastRenderedPageBreak/>
              <w:t>q</w:t>
            </w:r>
            <w:r w:rsidRPr="00E331FB">
              <w:rPr>
                <w:color w:val="0000FF"/>
              </w:rPr>
              <w:tab/>
              <w:t>=</w:t>
            </w:r>
            <w:r w:rsidRPr="00E331FB">
              <w:rPr>
                <w:color w:val="0000FF"/>
              </w:rPr>
              <w:tab/>
              <w:t>years in qualifying period</w:t>
            </w:r>
          </w:p>
          <w:p w:rsidR="00EF4EC1" w:rsidRPr="00E331FB" w:rsidRDefault="00EF4EC1" w:rsidP="00EF4EC1">
            <w:pPr>
              <w:pStyle w:val="Slide3"/>
              <w:rPr>
                <w:color w:val="0000FF"/>
              </w:rPr>
            </w:pPr>
            <w:r w:rsidRPr="00E331FB">
              <w:rPr>
                <w:color w:val="0000FF"/>
              </w:rPr>
              <w:t>f</w:t>
            </w:r>
            <w:r w:rsidRPr="00E331FB">
              <w:rPr>
                <w:color w:val="0000FF"/>
              </w:rPr>
              <w:tab/>
              <w:t>=</w:t>
            </w:r>
            <w:r w:rsidRPr="00E331FB">
              <w:rPr>
                <w:color w:val="0000FF"/>
              </w:rPr>
              <w:tab/>
              <w:t>if judge entitled to pension under section 6(2), then f</w:t>
            </w:r>
            <w:r>
              <w:rPr>
                <w:color w:val="0000FF"/>
              </w:rPr>
              <w:t xml:space="preserve"> </w:t>
            </w:r>
            <w:r w:rsidRPr="00E331FB">
              <w:rPr>
                <w:color w:val="0000FF"/>
              </w:rPr>
              <w:t>=</w:t>
            </w:r>
            <w:r>
              <w:rPr>
                <w:color w:val="0000FF"/>
              </w:rPr>
              <w:t xml:space="preserve"> </w:t>
            </w:r>
            <w:r w:rsidRPr="00E331FB">
              <w:rPr>
                <w:color w:val="0000FF"/>
              </w:rPr>
              <w:t>q</w:t>
            </w:r>
            <w:r>
              <w:rPr>
                <w:color w:val="0000FF"/>
              </w:rPr>
              <w:t xml:space="preserve"> </w:t>
            </w:r>
            <w:r>
              <w:rPr>
                <w:color w:val="0000FF"/>
              </w:rPr>
              <w:noBreakHyphen/>
              <w:t xml:space="preserve"> </w:t>
            </w:r>
            <w:r w:rsidRPr="00E331FB">
              <w:rPr>
                <w:color w:val="0000FF"/>
              </w:rPr>
              <w:t>e</w:t>
            </w:r>
          </w:p>
          <w:p w:rsidR="00EF4EC1" w:rsidRDefault="00EF4EC1" w:rsidP="00EF4EC1">
            <w:pPr>
              <w:pStyle w:val="Slide3"/>
              <w:spacing w:before="60"/>
              <w:rPr>
                <w:color w:val="0000FF"/>
              </w:rPr>
            </w:pPr>
            <w:r w:rsidRPr="00E331FB">
              <w:rPr>
                <w:color w:val="0000FF"/>
              </w:rPr>
              <w:tab/>
            </w:r>
            <w:r w:rsidRPr="00E331FB">
              <w:rPr>
                <w:color w:val="0000FF"/>
              </w:rPr>
              <w:tab/>
              <w:t>otherwise, f</w:t>
            </w:r>
            <w:r>
              <w:rPr>
                <w:color w:val="0000FF"/>
              </w:rPr>
              <w:t xml:space="preserve"> </w:t>
            </w:r>
            <w:r w:rsidRPr="00E331FB">
              <w:rPr>
                <w:color w:val="0000FF"/>
              </w:rPr>
              <w:t>=</w:t>
            </w:r>
            <w:r>
              <w:rPr>
                <w:color w:val="0000FF"/>
              </w:rPr>
              <w:t xml:space="preserve"> </w:t>
            </w:r>
            <w:r w:rsidRPr="00E331FB">
              <w:rPr>
                <w:color w:val="0000FF"/>
              </w:rPr>
              <w:t>number of financial years in period of service on and after 21 August 1996</w:t>
            </w:r>
          </w:p>
          <w:p w:rsidR="00EF4EC1" w:rsidRPr="00E331FB" w:rsidRDefault="00EF4EC1" w:rsidP="00EF4EC1">
            <w:pPr>
              <w:pStyle w:val="Slide3"/>
              <w:rPr>
                <w:color w:val="0000FF"/>
              </w:rPr>
            </w:pPr>
            <w:r w:rsidRPr="00E331FB">
              <w:rPr>
                <w:color w:val="0000FF"/>
              </w:rPr>
              <w:t>c</w:t>
            </w:r>
            <w:r w:rsidRPr="00E331FB">
              <w:rPr>
                <w:color w:val="0000FF"/>
                <w:vertAlign w:val="subscript"/>
              </w:rPr>
              <w:t>n</w:t>
            </w:r>
            <w:r w:rsidRPr="00E331FB">
              <w:rPr>
                <w:color w:val="0000FF"/>
              </w:rPr>
              <w:tab/>
              <w:t>=</w:t>
            </w:r>
            <w:r w:rsidRPr="00E331FB">
              <w:rPr>
                <w:color w:val="0000FF"/>
              </w:rPr>
              <w:tab/>
              <w:t>rate of superannuation contributions surcharge that applies to the judge for the n</w:t>
            </w:r>
            <w:r w:rsidRPr="002119B2">
              <w:rPr>
                <w:color w:val="0000FF"/>
                <w:vertAlign w:val="superscript"/>
              </w:rPr>
              <w:t>th</w:t>
            </w:r>
            <w:r w:rsidRPr="00E331FB">
              <w:rPr>
                <w:color w:val="0000FF"/>
              </w:rPr>
              <w:t xml:space="preserve"> financial year</w:t>
            </w:r>
          </w:p>
        </w:tc>
      </w:tr>
      <w:tr w:rsidR="00EF4EC1" w:rsidRPr="00525396" w:rsidTr="00EF4EC1">
        <w:tc>
          <w:tcPr>
            <w:tcW w:w="8505" w:type="dxa"/>
            <w:shd w:val="clear" w:color="auto" w:fill="FFFFFF"/>
          </w:tcPr>
          <w:p w:rsidR="00EF4EC1" w:rsidRPr="00E331FB" w:rsidRDefault="00EF4EC1" w:rsidP="00EF4EC1">
            <w:pPr>
              <w:pStyle w:val="Slide2"/>
              <w:rPr>
                <w:i/>
                <w:color w:val="0000FF"/>
              </w:rPr>
            </w:pPr>
            <w:r w:rsidRPr="00E331FB">
              <w:rPr>
                <w:i/>
                <w:color w:val="0000FF"/>
              </w:rPr>
              <w:lastRenderedPageBreak/>
              <w:t>Alternative 2</w:t>
            </w:r>
          </w:p>
          <w:p w:rsidR="00EF4EC1" w:rsidRPr="00E331FB" w:rsidRDefault="00EF4EC1" w:rsidP="00EF4EC1">
            <w:pPr>
              <w:pStyle w:val="Slide2"/>
              <w:rPr>
                <w:b/>
                <w:color w:val="0000FF"/>
              </w:rPr>
            </w:pPr>
            <w:r w:rsidRPr="00E331FB">
              <w:rPr>
                <w:b/>
                <w:color w:val="0000FF"/>
              </w:rPr>
              <w:t>6A</w:t>
            </w:r>
            <w:r w:rsidRPr="00E331FB">
              <w:rPr>
                <w:b/>
                <w:color w:val="0000FF"/>
              </w:rPr>
              <w:tab/>
              <w:t>Rate of pension</w:t>
            </w:r>
          </w:p>
          <w:p w:rsidR="00EF4EC1" w:rsidRPr="00E331FB" w:rsidRDefault="00EF4EC1" w:rsidP="00EF4EC1">
            <w:pPr>
              <w:pStyle w:val="Slide2"/>
              <w:rPr>
                <w:color w:val="0000FF"/>
              </w:rPr>
            </w:pPr>
            <w:r w:rsidRPr="00E331FB">
              <w:rPr>
                <w:color w:val="0000FF"/>
              </w:rPr>
              <w:tab/>
              <w:t>The annual rate of the pension to which the judge is entitled is to be calculated in accordance with the formula:</w:t>
            </w:r>
          </w:p>
          <w:p w:rsidR="00EF4EC1" w:rsidRPr="00E331FB" w:rsidRDefault="00EF4EC1" w:rsidP="00EF4EC1">
            <w:pPr>
              <w:pStyle w:val="Slide2"/>
              <w:rPr>
                <w:color w:val="0000FF"/>
              </w:rPr>
            </w:pPr>
            <m:oMathPara>
              <m:oMathParaPr>
                <m:jc m:val="left"/>
              </m:oMathParaPr>
              <m:oMath>
                <m:r>
                  <m:rPr>
                    <m:nor/>
                  </m:rPr>
                  <w:rPr>
                    <w:color w:val="0000FF"/>
                  </w:rPr>
                  <m:t>p</m:t>
                </m:r>
                <m:r>
                  <m:rPr>
                    <m:nor/>
                  </m:rPr>
                  <w:rPr>
                    <w:rFonts w:ascii="Cambria Math"/>
                    <w:color w:val="0000FF"/>
                  </w:rPr>
                  <m:t xml:space="preserve"> </m:t>
                </m:r>
                <m:r>
                  <m:rPr>
                    <m:nor/>
                  </m:rPr>
                  <w:rPr>
                    <w:color w:val="0000FF"/>
                  </w:rPr>
                  <m:t>=</m:t>
                </m:r>
                <m:r>
                  <m:rPr>
                    <m:nor/>
                  </m:rPr>
                  <w:rPr>
                    <w:rFonts w:ascii="Cambria Math"/>
                    <w:color w:val="0000FF"/>
                  </w:rPr>
                  <m:t xml:space="preserve"> </m:t>
                </m:r>
                <m:d>
                  <m:dPr>
                    <m:begChr m:val="["/>
                    <m:endChr m:val="]"/>
                    <m:ctrlPr>
                      <w:rPr>
                        <w:rFonts w:ascii="Cambria Math" w:hAnsi="Cambria Math"/>
                        <w:i/>
                        <w:color w:val="0000FF"/>
                      </w:rPr>
                    </m:ctrlPr>
                  </m:dPr>
                  <m:e>
                    <m:r>
                      <w:rPr>
                        <w:rFonts w:ascii="Cambria Math" w:hAnsi="Cambria Math"/>
                        <w:color w:val="0000FF"/>
                      </w:rPr>
                      <m:t xml:space="preserve"> </m:t>
                    </m:r>
                    <m:d>
                      <m:dPr>
                        <m:ctrlPr>
                          <w:rPr>
                            <w:rFonts w:ascii="Cambria Math" w:hAnsi="Cambria Math"/>
                            <w:i/>
                            <w:color w:val="0000FF"/>
                          </w:rPr>
                        </m:ctrlPr>
                      </m:dPr>
                      <m:e>
                        <m:r>
                          <m:rPr>
                            <m:nor/>
                          </m:rPr>
                          <w:rPr>
                            <w:color w:val="0000FF"/>
                          </w:rPr>
                          <m:t>s</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r</m:t>
                            </m:r>
                          </m:num>
                          <m:den>
                            <m:r>
                              <m:rPr>
                                <m:nor/>
                              </m:rPr>
                              <w:rPr>
                                <w:color w:val="0000FF"/>
                              </w:rPr>
                              <m:t>200</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n</m:t>
                            </m:r>
                          </m:num>
                          <m:den>
                            <m:r>
                              <m:rPr>
                                <m:nor/>
                              </m:rPr>
                              <w:rPr>
                                <w:color w:val="0000FF"/>
                              </w:rPr>
                              <m:t>10</m:t>
                            </m:r>
                          </m:den>
                        </m:f>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k</m:t>
                        </m:r>
                      </m:num>
                      <m:den>
                        <m:r>
                          <m:rPr>
                            <m:nor/>
                          </m:rPr>
                          <w:rPr>
                            <w:color w:val="0000FF"/>
                          </w:rPr>
                          <m:t>q</m:t>
                        </m:r>
                      </m:den>
                    </m:f>
                  </m:e>
                </m:d>
                <m:r>
                  <m:rPr>
                    <m:nor/>
                  </m:rPr>
                  <w:rPr>
                    <w:color w:val="0000FF"/>
                  </w:rPr>
                  <m:t xml:space="preserve"> </m:t>
                </m:r>
                <m:r>
                  <m:rPr>
                    <m:nor/>
                  </m:rPr>
                  <w:rPr>
                    <w:rFonts w:ascii="Cambria Math" w:hAnsi="Cambria Math"/>
                    <w:color w:val="0000FF"/>
                  </w:rPr>
                  <m:t>+</m:t>
                </m:r>
                <m:d>
                  <m:dPr>
                    <m:begChr m:val="{"/>
                    <m:endChr m:val="}"/>
                    <m:ctrlPr>
                      <w:rPr>
                        <w:rFonts w:ascii="Cambria Math" w:hAnsi="Cambria Math"/>
                        <w:i/>
                        <w:color w:val="0000FF"/>
                      </w:rPr>
                    </m:ctrlPr>
                  </m:dPr>
                  <m:e>
                    <m:r>
                      <w:rPr>
                        <w:rFonts w:ascii="Cambria Math" w:hAnsi="Cambria Math"/>
                        <w:color w:val="0000FF"/>
                      </w:rPr>
                      <m:t xml:space="preserve"> </m:t>
                    </m:r>
                    <m:d>
                      <m:dPr>
                        <m:begChr m:val="["/>
                        <m:endChr m:val="]"/>
                        <m:ctrlPr>
                          <w:rPr>
                            <w:rFonts w:ascii="Cambria Math" w:hAnsi="Cambria Math"/>
                            <w:i/>
                            <w:color w:val="0000FF"/>
                          </w:rPr>
                        </m:ctrlPr>
                      </m:dPr>
                      <m:e>
                        <m:r>
                          <w:rPr>
                            <w:rFonts w:ascii="Cambria Math" w:hAnsi="Cambria Math"/>
                            <w:color w:val="0000FF"/>
                          </w:rPr>
                          <m:t xml:space="preserve"> </m:t>
                        </m:r>
                        <m:d>
                          <m:dPr>
                            <m:ctrlPr>
                              <w:rPr>
                                <w:rFonts w:ascii="Cambria Math" w:hAnsi="Cambria Math"/>
                                <w:i/>
                                <w:color w:val="0000FF"/>
                              </w:rPr>
                            </m:ctrlPr>
                          </m:dPr>
                          <m:e>
                            <m:r>
                              <m:rPr>
                                <m:nor/>
                              </m:rPr>
                              <w:rPr>
                                <w:color w:val="0000FF"/>
                              </w:rPr>
                              <m:t>s</m:t>
                            </m:r>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r</m:t>
                                </m:r>
                              </m:num>
                              <m:den>
                                <m:r>
                                  <m:rPr>
                                    <m:nor/>
                                  </m:rPr>
                                  <w:rPr>
                                    <w:color w:val="0000FF"/>
                                  </w:rPr>
                                  <m:t>200</m:t>
                                </m:r>
                              </m:den>
                            </m:f>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f>
                              <m:fPr>
                                <m:ctrlPr>
                                  <w:rPr>
                                    <w:rFonts w:ascii="Cambria Math" w:hAnsi="Cambria Math"/>
                                    <w:i/>
                                    <w:color w:val="0000FF"/>
                                  </w:rPr>
                                </m:ctrlPr>
                              </m:fPr>
                              <m:num>
                                <m:r>
                                  <m:rPr>
                                    <m:nor/>
                                  </m:rPr>
                                  <w:rPr>
                                    <w:color w:val="0000FF"/>
                                  </w:rPr>
                                  <m:t>n</m:t>
                                </m:r>
                              </m:num>
                              <m:den>
                                <m:r>
                                  <m:rPr>
                                    <m:nor/>
                                  </m:rPr>
                                  <w:rPr>
                                    <w:color w:val="0000FF"/>
                                  </w:rPr>
                                  <m:t>10</m:t>
                                </m:r>
                              </m:den>
                            </m:f>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1</m:t>
                            </m:r>
                            <m:r>
                              <m:rPr>
                                <m:sty m:val="p"/>
                              </m:rPr>
                              <w:rPr>
                                <w:rFonts w:ascii="Cambria Math" w:hAnsi="Cambria Math"/>
                                <w:color w:val="0000FF"/>
                              </w:rPr>
                              <m:t>-</m:t>
                            </m:r>
                            <m:f>
                              <m:fPr>
                                <m:ctrlPr>
                                  <w:rPr>
                                    <w:rFonts w:ascii="Cambria Math" w:hAnsi="Cambria Math"/>
                                    <w:i/>
                                    <w:color w:val="0000FF"/>
                                  </w:rPr>
                                </m:ctrlPr>
                              </m:fPr>
                              <m:num>
                                <m:r>
                                  <m:rPr>
                                    <m:nor/>
                                  </m:rPr>
                                  <w:rPr>
                                    <w:color w:val="0000FF"/>
                                  </w:rPr>
                                  <m:t>k</m:t>
                                </m:r>
                              </m:num>
                              <m:den>
                                <m:r>
                                  <m:rPr>
                                    <m:nor/>
                                  </m:rPr>
                                  <w:rPr>
                                    <w:color w:val="0000FF"/>
                                  </w:rPr>
                                  <m:t>q</m:t>
                                </m:r>
                              </m:den>
                            </m:f>
                          </m:e>
                        </m:d>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d>
                      <m:dPr>
                        <m:ctrlPr>
                          <w:rPr>
                            <w:rFonts w:ascii="Cambria Math" w:hAnsi="Cambria Math"/>
                            <w:i/>
                            <w:color w:val="0000FF"/>
                          </w:rPr>
                        </m:ctrlPr>
                      </m:dPr>
                      <m:e>
                        <m:r>
                          <m:rPr>
                            <m:nor/>
                          </m:rPr>
                          <w:rPr>
                            <w:color w:val="0000FF"/>
                          </w:rPr>
                          <m:t>1</m:t>
                        </m:r>
                        <m:r>
                          <m:rPr>
                            <m:sty m:val="p"/>
                          </m:rPr>
                          <w:rPr>
                            <w:rFonts w:ascii="Cambria Math" w:hAnsi="Cambria Math"/>
                            <w:color w:val="0000FF"/>
                          </w:rPr>
                          <m:t>-</m:t>
                        </m:r>
                        <m:f>
                          <m:fPr>
                            <m:ctrlPr>
                              <w:rPr>
                                <w:rFonts w:ascii="Cambria Math" w:hAnsi="Cambria Math"/>
                                <w:i/>
                                <w:color w:val="0000FF"/>
                              </w:rPr>
                            </m:ctrlPr>
                          </m:fPr>
                          <m:num>
                            <m:nary>
                              <m:naryPr>
                                <m:chr m:val="∑"/>
                                <m:limLoc m:val="undOvr"/>
                                <m:ctrlPr>
                                  <w:rPr>
                                    <w:rFonts w:ascii="Cambria Math" w:hAnsi="Cambria Math"/>
                                    <w:i/>
                                    <w:color w:val="0000FF"/>
                                  </w:rPr>
                                </m:ctrlPr>
                              </m:naryPr>
                              <m:sub>
                                <m:r>
                                  <m:rPr>
                                    <m:nor/>
                                  </m:rPr>
                                  <w:rPr>
                                    <w:color w:val="0000FF"/>
                                  </w:rPr>
                                  <m:t>n</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1</m:t>
                                </m:r>
                              </m:sub>
                              <m:sup>
                                <m:r>
                                  <m:rPr>
                                    <m:nor/>
                                  </m:rPr>
                                  <w:rPr>
                                    <w:color w:val="0000FF"/>
                                  </w:rPr>
                                  <m:t>f</m:t>
                                </m:r>
                              </m:sup>
                              <m:e>
                                <m:sSub>
                                  <m:sSubPr>
                                    <m:ctrlPr>
                                      <w:rPr>
                                        <w:rFonts w:ascii="Cambria Math" w:hAnsi="Cambria Math"/>
                                        <w:i/>
                                        <w:color w:val="0000FF"/>
                                      </w:rPr>
                                    </m:ctrlPr>
                                  </m:sSubPr>
                                  <m:e>
                                    <m:r>
                                      <m:rPr>
                                        <m:nor/>
                                      </m:rPr>
                                      <w:rPr>
                                        <w:color w:val="0000FF"/>
                                      </w:rPr>
                                      <m:t>c</m:t>
                                    </m:r>
                                  </m:e>
                                  <m:sub>
                                    <m:r>
                                      <m:rPr>
                                        <m:nor/>
                                      </m:rPr>
                                      <w:rPr>
                                        <w:color w:val="0000FF"/>
                                      </w:rPr>
                                      <m:t>n</m:t>
                                    </m:r>
                                  </m:sub>
                                </m:sSub>
                              </m:e>
                            </m:nary>
                          </m:num>
                          <m:den>
                            <m:r>
                              <m:rPr>
                                <m:nor/>
                              </m:rPr>
                              <w:rPr>
                                <w:color w:val="0000FF"/>
                              </w:rPr>
                              <m:t>f</m:t>
                            </m:r>
                          </m:den>
                        </m:f>
                      </m:e>
                    </m:d>
                    <m:r>
                      <w:rPr>
                        <w:rFonts w:ascii="Cambria Math" w:hAnsi="Cambria Math"/>
                        <w:color w:val="0000FF"/>
                      </w:rPr>
                      <m:t xml:space="preserve"> </m:t>
                    </m:r>
                  </m:e>
                </m:d>
              </m:oMath>
            </m:oMathPara>
          </w:p>
          <w:p w:rsidR="00EF4EC1" w:rsidRPr="00E331FB" w:rsidRDefault="00EF4EC1" w:rsidP="00EF4EC1">
            <w:pPr>
              <w:pStyle w:val="Slide3"/>
              <w:rPr>
                <w:color w:val="0000FF"/>
              </w:rPr>
            </w:pPr>
            <w:r w:rsidRPr="00E331FB">
              <w:rPr>
                <w:color w:val="0000FF"/>
              </w:rPr>
              <w:t>where:</w:t>
            </w:r>
          </w:p>
          <w:p w:rsidR="00EF4EC1" w:rsidRPr="00E331FB" w:rsidRDefault="00EF4EC1" w:rsidP="00EF4EC1">
            <w:pPr>
              <w:pStyle w:val="Slide3"/>
              <w:rPr>
                <w:color w:val="0000FF"/>
              </w:rPr>
            </w:pPr>
            <w:r w:rsidRPr="00E331FB">
              <w:rPr>
                <w:color w:val="0000FF"/>
              </w:rPr>
              <w:t>s</w:t>
            </w:r>
            <w:r w:rsidRPr="00E331FB">
              <w:rPr>
                <w:color w:val="0000FF"/>
              </w:rPr>
              <w:tab/>
              <w:t>=</w:t>
            </w:r>
            <w:r w:rsidRPr="00E331FB">
              <w:rPr>
                <w:color w:val="0000FF"/>
              </w:rPr>
              <w:tab/>
              <w:t>current judicial salary</w:t>
            </w:r>
          </w:p>
          <w:p w:rsidR="00EF4EC1" w:rsidRPr="00E331FB" w:rsidRDefault="00EF4EC1" w:rsidP="00EF4EC1">
            <w:pPr>
              <w:pStyle w:val="Slide3"/>
              <w:rPr>
                <w:color w:val="0000FF"/>
              </w:rPr>
            </w:pPr>
            <w:r w:rsidRPr="00E331FB">
              <w:rPr>
                <w:color w:val="0000FF"/>
              </w:rPr>
              <w:t>r</w:t>
            </w:r>
            <w:r w:rsidRPr="00E331FB">
              <w:rPr>
                <w:color w:val="0000FF"/>
              </w:rPr>
              <w:tab/>
              <w:t>=</w:t>
            </w:r>
            <w:r w:rsidRPr="00E331FB">
              <w:rPr>
                <w:color w:val="0000FF"/>
              </w:rPr>
              <w:tab/>
              <w:t>if judge entitled to pension under section 6(1), (2), or (2A), then r</w:t>
            </w:r>
            <w:r>
              <w:rPr>
                <w:color w:val="0000FF"/>
              </w:rPr>
              <w:t xml:space="preserve"> </w:t>
            </w:r>
            <w:r w:rsidRPr="00E331FB">
              <w:rPr>
                <w:color w:val="0000FF"/>
              </w:rPr>
              <w:t>=</w:t>
            </w:r>
            <w:r>
              <w:rPr>
                <w:color w:val="0000FF"/>
              </w:rPr>
              <w:t xml:space="preserve"> </w:t>
            </w:r>
            <w:r w:rsidRPr="00E331FB">
              <w:rPr>
                <w:color w:val="0000FF"/>
              </w:rPr>
              <w:t>120</w:t>
            </w:r>
          </w:p>
          <w:p w:rsidR="00EF4EC1" w:rsidRPr="00E331FB" w:rsidRDefault="00EF4EC1" w:rsidP="00EF4EC1">
            <w:pPr>
              <w:pStyle w:val="Slide3"/>
              <w:rPr>
                <w:color w:val="0000FF"/>
              </w:rPr>
            </w:pPr>
            <w:r w:rsidRPr="00E331FB">
              <w:rPr>
                <w:color w:val="0000FF"/>
              </w:rPr>
              <w:tab/>
            </w:r>
            <w:r w:rsidRPr="00E331FB">
              <w:rPr>
                <w:color w:val="0000FF"/>
              </w:rPr>
              <w:tab/>
              <w:t>if judge entitled to pension under section 6(2D), then:</w:t>
            </w:r>
          </w:p>
          <w:p w:rsidR="00EF4EC1" w:rsidRPr="00E331FB" w:rsidRDefault="00EF4EC1" w:rsidP="00EF4EC1">
            <w:pPr>
              <w:pStyle w:val="Slide4"/>
              <w:rPr>
                <w:color w:val="0000FF"/>
              </w:rPr>
            </w:pPr>
            <w:r w:rsidRPr="00E331FB">
              <w:rPr>
                <w:color w:val="0000FF"/>
              </w:rPr>
              <w:tab/>
              <w:t>if m</w:t>
            </w:r>
            <w:r>
              <w:rPr>
                <w:color w:val="0000FF"/>
              </w:rPr>
              <w:t xml:space="preserve"> </w:t>
            </w:r>
            <w:r w:rsidRPr="00E331FB">
              <w:rPr>
                <w:color w:val="0000FF"/>
              </w:rPr>
              <w:t>&lt;</w:t>
            </w:r>
            <w:r>
              <w:rPr>
                <w:color w:val="0000FF"/>
              </w:rPr>
              <w:t xml:space="preserve"> </w:t>
            </w:r>
            <w:r w:rsidRPr="00E331FB">
              <w:rPr>
                <w:color w:val="0000FF"/>
              </w:rPr>
              <w:t>120, then r</w:t>
            </w:r>
            <w:r>
              <w:rPr>
                <w:color w:val="0000FF"/>
              </w:rPr>
              <w:t xml:space="preserve"> </w:t>
            </w:r>
            <w:r w:rsidRPr="00E331FB">
              <w:rPr>
                <w:color w:val="0000FF"/>
              </w:rPr>
              <w:t>=</w:t>
            </w:r>
            <w:r>
              <w:rPr>
                <w:color w:val="0000FF"/>
              </w:rPr>
              <w:t xml:space="preserve"> </w:t>
            </w:r>
            <w:r w:rsidRPr="00E331FB">
              <w:rPr>
                <w:color w:val="0000FF"/>
              </w:rPr>
              <w:t>m</w:t>
            </w:r>
          </w:p>
          <w:p w:rsidR="00EF4EC1" w:rsidRPr="00E331FB" w:rsidRDefault="00EF4EC1" w:rsidP="00EF4EC1">
            <w:pPr>
              <w:pStyle w:val="Slide4"/>
              <w:rPr>
                <w:color w:val="0000FF"/>
              </w:rPr>
            </w:pPr>
            <w:r w:rsidRPr="00E331FB">
              <w:rPr>
                <w:color w:val="0000FF"/>
              </w:rPr>
              <w:tab/>
              <w:t>If m</w:t>
            </w:r>
            <w:r>
              <w:rPr>
                <w:color w:val="0000FF"/>
              </w:rPr>
              <w:t xml:space="preserve"> </w:t>
            </w:r>
            <w:r w:rsidRPr="00E331FB">
              <w:rPr>
                <w:color w:val="0000FF"/>
              </w:rPr>
              <w:t>≥</w:t>
            </w:r>
            <w:r>
              <w:rPr>
                <w:color w:val="0000FF"/>
              </w:rPr>
              <w:t xml:space="preserve"> </w:t>
            </w:r>
            <w:r w:rsidRPr="00E331FB">
              <w:rPr>
                <w:color w:val="0000FF"/>
              </w:rPr>
              <w:t>120, then r</w:t>
            </w:r>
            <w:r>
              <w:rPr>
                <w:color w:val="0000FF"/>
              </w:rPr>
              <w:t xml:space="preserve"> </w:t>
            </w:r>
            <w:r w:rsidRPr="00E331FB">
              <w:rPr>
                <w:color w:val="0000FF"/>
              </w:rPr>
              <w:t>=</w:t>
            </w:r>
            <w:r>
              <w:rPr>
                <w:color w:val="0000FF"/>
              </w:rPr>
              <w:t xml:space="preserve"> </w:t>
            </w:r>
            <w:r w:rsidRPr="00E331FB">
              <w:rPr>
                <w:color w:val="0000FF"/>
              </w:rPr>
              <w:t>120</w:t>
            </w:r>
          </w:p>
          <w:p w:rsidR="00EF4EC1" w:rsidRPr="00E331FB" w:rsidRDefault="00EF4EC1" w:rsidP="00EF4EC1">
            <w:pPr>
              <w:pStyle w:val="Slide3"/>
              <w:rPr>
                <w:color w:val="0000FF"/>
              </w:rPr>
            </w:pPr>
            <w:r w:rsidRPr="00E331FB">
              <w:rPr>
                <w:color w:val="0000FF"/>
              </w:rPr>
              <w:t>m</w:t>
            </w:r>
            <w:r w:rsidRPr="00E331FB">
              <w:rPr>
                <w:color w:val="0000FF"/>
              </w:rPr>
              <w:tab/>
              <w:t>=</w:t>
            </w:r>
            <w:r w:rsidRPr="00E331FB">
              <w:rPr>
                <w:color w:val="0000FF"/>
              </w:rPr>
              <w:tab/>
              <w:t>if z</w:t>
            </w:r>
            <w:r>
              <w:rPr>
                <w:color w:val="0000FF"/>
              </w:rPr>
              <w:t xml:space="preserve"> </w:t>
            </w:r>
            <w:r w:rsidRPr="00E331FB">
              <w:rPr>
                <w:color w:val="0000FF"/>
              </w:rPr>
              <w:t>≥</w:t>
            </w:r>
            <w:r>
              <w:rPr>
                <w:color w:val="0000FF"/>
              </w:rPr>
              <w:t xml:space="preserve"> </w:t>
            </w:r>
            <w:r w:rsidRPr="00E331FB">
              <w:rPr>
                <w:color w:val="0000FF"/>
              </w:rPr>
              <w:t>120, then m</w:t>
            </w:r>
            <w:r>
              <w:rPr>
                <w:color w:val="0000FF"/>
              </w:rPr>
              <w:t xml:space="preserve"> </w:t>
            </w:r>
            <w:r w:rsidRPr="00E331FB">
              <w:rPr>
                <w:color w:val="0000FF"/>
              </w:rPr>
              <w:t>=</w:t>
            </w:r>
            <w:r>
              <w:rPr>
                <w:color w:val="0000FF"/>
              </w:rPr>
              <w:t xml:space="preserve"> </w:t>
            </w:r>
            <w:r w:rsidRPr="00E331FB">
              <w:rPr>
                <w:color w:val="0000FF"/>
              </w:rPr>
              <w:t>120</w:t>
            </w:r>
          </w:p>
          <w:p w:rsidR="00EF4EC1" w:rsidRPr="00E331FB" w:rsidRDefault="00EF4EC1" w:rsidP="00EF4EC1">
            <w:pPr>
              <w:pStyle w:val="Slide3"/>
              <w:rPr>
                <w:color w:val="0000FF"/>
              </w:rPr>
            </w:pPr>
            <w:r w:rsidRPr="00E331FB">
              <w:rPr>
                <w:color w:val="0000FF"/>
              </w:rPr>
              <w:tab/>
            </w:r>
            <w:r w:rsidRPr="00E331FB">
              <w:rPr>
                <w:color w:val="0000FF"/>
              </w:rPr>
              <w:tab/>
              <w:t>if z</w:t>
            </w:r>
            <w:r>
              <w:rPr>
                <w:color w:val="0000FF"/>
              </w:rPr>
              <w:t xml:space="preserve"> </w:t>
            </w:r>
            <w:r w:rsidRPr="00E331FB">
              <w:rPr>
                <w:color w:val="0000FF"/>
              </w:rPr>
              <w:t>&lt;</w:t>
            </w:r>
            <w:r>
              <w:rPr>
                <w:color w:val="0000FF"/>
              </w:rPr>
              <w:t xml:space="preserve"> </w:t>
            </w:r>
            <w:r w:rsidRPr="00E331FB">
              <w:rPr>
                <w:color w:val="0000FF"/>
              </w:rPr>
              <w:t>120, then m</w:t>
            </w:r>
            <w:r>
              <w:rPr>
                <w:color w:val="0000FF"/>
              </w:rPr>
              <w:t xml:space="preserve"> </w:t>
            </w:r>
            <w:r w:rsidRPr="00E331FB">
              <w:rPr>
                <w:color w:val="0000FF"/>
              </w:rPr>
              <w:t>=</w:t>
            </w:r>
            <w:r>
              <w:rPr>
                <w:color w:val="0000FF"/>
              </w:rPr>
              <w:t xml:space="preserve"> z</w:t>
            </w:r>
          </w:p>
          <w:p w:rsidR="00EF4EC1" w:rsidRPr="00E331FB" w:rsidRDefault="00EF4EC1" w:rsidP="00EF4EC1">
            <w:pPr>
              <w:pStyle w:val="Slide3"/>
              <w:rPr>
                <w:color w:val="0000FF"/>
              </w:rPr>
            </w:pPr>
            <w:r w:rsidRPr="00E331FB">
              <w:rPr>
                <w:color w:val="0000FF"/>
              </w:rPr>
              <w:t>z</w:t>
            </w:r>
            <w:r w:rsidRPr="00E331FB">
              <w:rPr>
                <w:color w:val="0000FF"/>
              </w:rPr>
              <w:tab/>
              <w:t>=</w:t>
            </w:r>
            <w:r w:rsidRPr="00E331FB">
              <w:rPr>
                <w:color w:val="0000FF"/>
              </w:rPr>
              <w:tab/>
              <w:t>completed months of service</w:t>
            </w:r>
          </w:p>
          <w:p w:rsidR="00EF4EC1" w:rsidRPr="00E331FB" w:rsidRDefault="00EF4EC1" w:rsidP="00EF4EC1">
            <w:pPr>
              <w:pStyle w:val="Slide3"/>
              <w:rPr>
                <w:color w:val="0000FF"/>
              </w:rPr>
            </w:pPr>
            <w:r w:rsidRPr="00E331FB">
              <w:rPr>
                <w:color w:val="0000FF"/>
              </w:rPr>
              <w:t>n</w:t>
            </w:r>
            <w:r w:rsidRPr="00E331FB">
              <w:rPr>
                <w:color w:val="0000FF"/>
              </w:rPr>
              <w:tab/>
              <w:t>=</w:t>
            </w:r>
            <w:r w:rsidRPr="00E331FB">
              <w:rPr>
                <w:color w:val="0000FF"/>
              </w:rPr>
              <w:tab/>
              <w:t xml:space="preserve">if judge entitled to pension under section 6(1), (2), (2A)(a), or (2D), </w:t>
            </w:r>
            <w:r w:rsidRPr="00E331FB">
              <w:rPr>
                <w:color w:val="0000FF"/>
              </w:rPr>
              <w:br/>
              <w:t>then n</w:t>
            </w:r>
            <w:r>
              <w:rPr>
                <w:color w:val="0000FF"/>
              </w:rPr>
              <w:t xml:space="preserve"> </w:t>
            </w:r>
            <w:r w:rsidRPr="00E331FB">
              <w:rPr>
                <w:color w:val="0000FF"/>
              </w:rPr>
              <w:t>=</w:t>
            </w:r>
            <w:r>
              <w:rPr>
                <w:color w:val="0000FF"/>
              </w:rPr>
              <w:t xml:space="preserve"> </w:t>
            </w:r>
            <w:r w:rsidRPr="00E331FB">
              <w:rPr>
                <w:color w:val="0000FF"/>
              </w:rPr>
              <w:t>10</w:t>
            </w:r>
          </w:p>
          <w:p w:rsidR="00EF4EC1" w:rsidRPr="00E331FB" w:rsidRDefault="00EF4EC1" w:rsidP="00EF4EC1">
            <w:pPr>
              <w:pStyle w:val="Slide3"/>
              <w:rPr>
                <w:color w:val="0000FF"/>
              </w:rPr>
            </w:pPr>
            <w:r w:rsidRPr="00E331FB">
              <w:rPr>
                <w:color w:val="0000FF"/>
              </w:rPr>
              <w:tab/>
            </w:r>
            <w:r w:rsidRPr="00E331FB">
              <w:rPr>
                <w:color w:val="0000FF"/>
              </w:rPr>
              <w:tab/>
              <w:t>if judge entitled to pension under section 6(2A)(b), then</w:t>
            </w:r>
          </w:p>
          <w:p w:rsidR="00EF4EC1" w:rsidRPr="00E331FB" w:rsidRDefault="00EF4EC1" w:rsidP="00EF4EC1">
            <w:pPr>
              <w:pStyle w:val="Slide4"/>
              <w:rPr>
                <w:color w:val="0000FF"/>
              </w:rPr>
            </w:pPr>
            <w:r w:rsidRPr="00E331FB">
              <w:rPr>
                <w:color w:val="0000FF"/>
              </w:rPr>
              <w:tab/>
              <w:t>if y</w:t>
            </w:r>
            <w:r>
              <w:rPr>
                <w:color w:val="0000FF"/>
              </w:rPr>
              <w:t xml:space="preserve"> </w:t>
            </w:r>
            <w:r w:rsidRPr="00E331FB">
              <w:rPr>
                <w:color w:val="0000FF"/>
              </w:rPr>
              <w:t>≥</w:t>
            </w:r>
            <w:r>
              <w:rPr>
                <w:color w:val="0000FF"/>
              </w:rPr>
              <w:t xml:space="preserve"> </w:t>
            </w:r>
            <w:r w:rsidRPr="00E331FB">
              <w:rPr>
                <w:color w:val="0000FF"/>
              </w:rPr>
              <w:t>10, n</w:t>
            </w:r>
            <w:r>
              <w:rPr>
                <w:color w:val="0000FF"/>
              </w:rPr>
              <w:t xml:space="preserve"> </w:t>
            </w:r>
            <w:r w:rsidRPr="00E331FB">
              <w:rPr>
                <w:color w:val="0000FF"/>
              </w:rPr>
              <w:t>=</w:t>
            </w:r>
            <w:r>
              <w:rPr>
                <w:color w:val="0000FF"/>
              </w:rPr>
              <w:t xml:space="preserve"> </w:t>
            </w:r>
            <w:r w:rsidRPr="00E331FB">
              <w:rPr>
                <w:color w:val="0000FF"/>
              </w:rPr>
              <w:t>10</w:t>
            </w:r>
          </w:p>
          <w:p w:rsidR="00EF4EC1" w:rsidRPr="00E331FB" w:rsidRDefault="00EF4EC1" w:rsidP="00EF4EC1">
            <w:pPr>
              <w:pStyle w:val="Slide4"/>
              <w:rPr>
                <w:color w:val="0000FF"/>
              </w:rPr>
            </w:pPr>
            <w:r w:rsidRPr="00E331FB">
              <w:rPr>
                <w:color w:val="0000FF"/>
              </w:rPr>
              <w:tab/>
              <w:t>If y</w:t>
            </w:r>
            <w:r>
              <w:rPr>
                <w:color w:val="0000FF"/>
              </w:rPr>
              <w:t xml:space="preserve"> </w:t>
            </w:r>
            <w:r w:rsidRPr="00E331FB">
              <w:rPr>
                <w:color w:val="0000FF"/>
              </w:rPr>
              <w:t>&lt;</w:t>
            </w:r>
            <w:r>
              <w:rPr>
                <w:color w:val="0000FF"/>
              </w:rPr>
              <w:t xml:space="preserve"> </w:t>
            </w:r>
            <w:r w:rsidRPr="00E331FB">
              <w:rPr>
                <w:color w:val="0000FF"/>
              </w:rPr>
              <w:t>10, n</w:t>
            </w:r>
            <w:r>
              <w:rPr>
                <w:color w:val="0000FF"/>
              </w:rPr>
              <w:t xml:space="preserve"> </w:t>
            </w:r>
            <w:r w:rsidRPr="00E331FB">
              <w:rPr>
                <w:color w:val="0000FF"/>
              </w:rPr>
              <w:t>=</w:t>
            </w:r>
            <w:r>
              <w:rPr>
                <w:color w:val="0000FF"/>
              </w:rPr>
              <w:t xml:space="preserve"> </w:t>
            </w:r>
            <w:r w:rsidRPr="00E331FB">
              <w:rPr>
                <w:color w:val="0000FF"/>
              </w:rPr>
              <w:t>y</w:t>
            </w:r>
          </w:p>
          <w:p w:rsidR="00EF4EC1" w:rsidRPr="00E331FB" w:rsidRDefault="00EF4EC1" w:rsidP="00EF4EC1">
            <w:pPr>
              <w:pStyle w:val="Slide3"/>
              <w:rPr>
                <w:color w:val="0000FF"/>
              </w:rPr>
            </w:pPr>
            <w:r w:rsidRPr="00E331FB">
              <w:rPr>
                <w:color w:val="0000FF"/>
              </w:rPr>
              <w:t>y</w:t>
            </w:r>
            <w:r w:rsidRPr="00E331FB">
              <w:rPr>
                <w:color w:val="0000FF"/>
              </w:rPr>
              <w:tab/>
              <w:t>=</w:t>
            </w:r>
            <w:r w:rsidRPr="00E331FB">
              <w:rPr>
                <w:color w:val="0000FF"/>
              </w:rPr>
              <w:tab/>
              <w:t>years of service as a judge</w:t>
            </w:r>
            <w:r>
              <w:rPr>
                <w:color w:val="0000FF"/>
              </w:rPr>
              <w:t xml:space="preserve"> plus years of leave certified by </w:t>
            </w:r>
            <w:r w:rsidRPr="00E331FB">
              <w:rPr>
                <w:color w:val="0000FF"/>
              </w:rPr>
              <w:t>Attorney</w:t>
            </w:r>
            <w:r>
              <w:rPr>
                <w:color w:val="0000FF"/>
              </w:rPr>
              <w:noBreakHyphen/>
            </w:r>
            <w:r w:rsidRPr="00E331FB">
              <w:rPr>
                <w:color w:val="0000FF"/>
              </w:rPr>
              <w:t xml:space="preserve">General </w:t>
            </w:r>
            <w:r>
              <w:rPr>
                <w:color w:val="0000FF"/>
              </w:rPr>
              <w:t xml:space="preserve">to be due to </w:t>
            </w:r>
            <w:r w:rsidRPr="00E331FB">
              <w:rPr>
                <w:color w:val="0000FF"/>
              </w:rPr>
              <w:t>judge immediately before retirement</w:t>
            </w:r>
          </w:p>
          <w:p w:rsidR="00EF4EC1" w:rsidRPr="00E331FB" w:rsidRDefault="00EF4EC1" w:rsidP="00EF4EC1">
            <w:pPr>
              <w:pStyle w:val="Slide3"/>
              <w:rPr>
                <w:color w:val="0000FF"/>
              </w:rPr>
            </w:pPr>
            <w:r w:rsidRPr="00E331FB">
              <w:rPr>
                <w:color w:val="0000FF"/>
              </w:rPr>
              <w:t>k</w:t>
            </w:r>
            <w:r w:rsidRPr="00E331FB">
              <w:rPr>
                <w:color w:val="0000FF"/>
              </w:rPr>
              <w:tab/>
              <w:t>=</w:t>
            </w:r>
            <w:r w:rsidRPr="00E331FB">
              <w:rPr>
                <w:color w:val="0000FF"/>
              </w:rPr>
              <w:tab/>
              <w:t>if q</w:t>
            </w:r>
            <w:r>
              <w:rPr>
                <w:color w:val="0000FF"/>
              </w:rPr>
              <w:t xml:space="preserve"> </w:t>
            </w:r>
            <w:r w:rsidRPr="00E331FB">
              <w:rPr>
                <w:color w:val="0000FF"/>
              </w:rPr>
              <w:t>=</w:t>
            </w:r>
            <w:r>
              <w:rPr>
                <w:color w:val="0000FF"/>
              </w:rPr>
              <w:t xml:space="preserve"> </w:t>
            </w:r>
            <w:r w:rsidRPr="00E331FB">
              <w:rPr>
                <w:color w:val="0000FF"/>
              </w:rPr>
              <w:t>x, then k</w:t>
            </w:r>
            <w:r>
              <w:rPr>
                <w:color w:val="0000FF"/>
              </w:rPr>
              <w:t xml:space="preserve"> </w:t>
            </w:r>
            <w:r w:rsidRPr="00E331FB">
              <w:rPr>
                <w:color w:val="0000FF"/>
              </w:rPr>
              <w:t>=</w:t>
            </w:r>
            <w:r>
              <w:rPr>
                <w:color w:val="0000FF"/>
              </w:rPr>
              <w:t xml:space="preserve"> </w:t>
            </w:r>
            <w:r w:rsidRPr="00E331FB">
              <w:rPr>
                <w:color w:val="0000FF"/>
              </w:rPr>
              <w:t>x</w:t>
            </w:r>
            <w:r>
              <w:rPr>
                <w:color w:val="0000FF"/>
              </w:rPr>
              <w:t xml:space="preserve"> </w:t>
            </w:r>
          </w:p>
          <w:p w:rsidR="00EF4EC1" w:rsidRPr="00E331FB" w:rsidRDefault="00EF4EC1" w:rsidP="00EF4EC1">
            <w:pPr>
              <w:pStyle w:val="Slide3"/>
              <w:rPr>
                <w:color w:val="0000FF"/>
              </w:rPr>
            </w:pPr>
            <w:r w:rsidRPr="00E331FB">
              <w:rPr>
                <w:color w:val="0000FF"/>
              </w:rPr>
              <w:tab/>
            </w:r>
            <w:r w:rsidRPr="00E331FB">
              <w:rPr>
                <w:color w:val="0000FF"/>
              </w:rPr>
              <w:tab/>
              <w:t>if q</w:t>
            </w:r>
            <w:r>
              <w:rPr>
                <w:color w:val="0000FF"/>
              </w:rPr>
              <w:t xml:space="preserve"> </w:t>
            </w:r>
            <w:r w:rsidRPr="00E331FB">
              <w:rPr>
                <w:color w:val="0000FF"/>
              </w:rPr>
              <w:t>≠</w:t>
            </w:r>
            <w:r>
              <w:rPr>
                <w:color w:val="0000FF"/>
              </w:rPr>
              <w:t xml:space="preserve"> </w:t>
            </w:r>
            <w:r w:rsidRPr="00E331FB">
              <w:rPr>
                <w:color w:val="0000FF"/>
              </w:rPr>
              <w:t>x, then:</w:t>
            </w:r>
          </w:p>
          <w:p w:rsidR="00EF4EC1" w:rsidRPr="00E331FB" w:rsidRDefault="00EF4EC1" w:rsidP="00EF4EC1">
            <w:pPr>
              <w:pStyle w:val="Slide4"/>
              <w:rPr>
                <w:color w:val="0000FF"/>
              </w:rPr>
            </w:pPr>
            <w:r w:rsidRPr="00E331FB">
              <w:rPr>
                <w:color w:val="0000FF"/>
              </w:rPr>
              <w:tab/>
              <w:t>if e</w:t>
            </w:r>
            <w:r>
              <w:rPr>
                <w:color w:val="0000FF"/>
              </w:rPr>
              <w:t xml:space="preserve"> </w:t>
            </w:r>
            <w:r w:rsidRPr="00E331FB">
              <w:rPr>
                <w:color w:val="0000FF"/>
              </w:rPr>
              <w:t>&lt;</w:t>
            </w:r>
            <w:r>
              <w:rPr>
                <w:color w:val="0000FF"/>
              </w:rPr>
              <w:t xml:space="preserve"> </w:t>
            </w:r>
            <w:r w:rsidRPr="00E331FB">
              <w:rPr>
                <w:color w:val="0000FF"/>
              </w:rPr>
              <w:t>q, then k</w:t>
            </w:r>
            <w:r>
              <w:rPr>
                <w:color w:val="0000FF"/>
              </w:rPr>
              <w:t xml:space="preserve"> </w:t>
            </w:r>
            <w:r w:rsidRPr="00E331FB">
              <w:rPr>
                <w:color w:val="0000FF"/>
              </w:rPr>
              <w:t>=</w:t>
            </w:r>
            <w:r>
              <w:rPr>
                <w:color w:val="0000FF"/>
              </w:rPr>
              <w:t xml:space="preserve"> </w:t>
            </w:r>
            <w:r w:rsidRPr="00E331FB">
              <w:rPr>
                <w:color w:val="0000FF"/>
              </w:rPr>
              <w:t>e</w:t>
            </w:r>
          </w:p>
          <w:p w:rsidR="00EF4EC1" w:rsidRPr="00E331FB" w:rsidRDefault="00EF4EC1" w:rsidP="00EF4EC1">
            <w:pPr>
              <w:pStyle w:val="Slide4"/>
              <w:rPr>
                <w:color w:val="0000FF"/>
              </w:rPr>
            </w:pPr>
            <w:r w:rsidRPr="00E331FB">
              <w:rPr>
                <w:color w:val="0000FF"/>
              </w:rPr>
              <w:tab/>
              <w:t>if e</w:t>
            </w:r>
            <w:r>
              <w:rPr>
                <w:color w:val="0000FF"/>
              </w:rPr>
              <w:t xml:space="preserve"> </w:t>
            </w:r>
            <w:r w:rsidRPr="00E331FB">
              <w:rPr>
                <w:color w:val="0000FF"/>
              </w:rPr>
              <w:t>≥</w:t>
            </w:r>
            <w:r>
              <w:rPr>
                <w:color w:val="0000FF"/>
              </w:rPr>
              <w:t xml:space="preserve"> </w:t>
            </w:r>
            <w:r w:rsidRPr="00E331FB">
              <w:rPr>
                <w:color w:val="0000FF"/>
              </w:rPr>
              <w:t>q, then k</w:t>
            </w:r>
            <w:r>
              <w:rPr>
                <w:color w:val="0000FF"/>
              </w:rPr>
              <w:t xml:space="preserve"> </w:t>
            </w:r>
            <w:r w:rsidRPr="00E331FB">
              <w:rPr>
                <w:color w:val="0000FF"/>
              </w:rPr>
              <w:t>=</w:t>
            </w:r>
            <w:r>
              <w:rPr>
                <w:color w:val="0000FF"/>
              </w:rPr>
              <w:t xml:space="preserve"> </w:t>
            </w:r>
            <w:r w:rsidRPr="00E331FB">
              <w:rPr>
                <w:color w:val="0000FF"/>
              </w:rPr>
              <w:t>q</w:t>
            </w:r>
          </w:p>
          <w:p w:rsidR="00EF4EC1" w:rsidRPr="00E331FB" w:rsidRDefault="00EF4EC1" w:rsidP="00EF4EC1">
            <w:pPr>
              <w:pStyle w:val="Slide3"/>
              <w:rPr>
                <w:color w:val="0000FF"/>
              </w:rPr>
            </w:pPr>
            <w:r w:rsidRPr="00E331FB">
              <w:rPr>
                <w:color w:val="0000FF"/>
              </w:rPr>
              <w:lastRenderedPageBreak/>
              <w:t>q</w:t>
            </w:r>
            <w:r w:rsidRPr="00E331FB">
              <w:rPr>
                <w:color w:val="0000FF"/>
              </w:rPr>
              <w:tab/>
              <w:t>=</w:t>
            </w:r>
            <w:r w:rsidRPr="00E331FB">
              <w:rPr>
                <w:color w:val="0000FF"/>
              </w:rPr>
              <w:tab/>
              <w:t>if judge’s surcharge debt account is in debit when pension becomes payable, then q</w:t>
            </w:r>
            <w:r>
              <w:rPr>
                <w:color w:val="0000FF"/>
              </w:rPr>
              <w:t xml:space="preserve"> </w:t>
            </w:r>
            <w:r w:rsidRPr="00E331FB">
              <w:rPr>
                <w:color w:val="0000FF"/>
              </w:rPr>
              <w:t>=</w:t>
            </w:r>
            <w:r>
              <w:rPr>
                <w:color w:val="0000FF"/>
              </w:rPr>
              <w:t xml:space="preserve"> </w:t>
            </w:r>
            <w:r w:rsidRPr="00E331FB">
              <w:rPr>
                <w:color w:val="0000FF"/>
              </w:rPr>
              <w:t>years in qualifying period</w:t>
            </w:r>
          </w:p>
          <w:p w:rsidR="00EF4EC1" w:rsidRPr="00E331FB" w:rsidRDefault="00EF4EC1" w:rsidP="00EF4EC1">
            <w:pPr>
              <w:pStyle w:val="Slide3"/>
              <w:rPr>
                <w:color w:val="0000FF"/>
              </w:rPr>
            </w:pPr>
            <w:r w:rsidRPr="00E331FB">
              <w:rPr>
                <w:color w:val="0000FF"/>
              </w:rPr>
              <w:tab/>
            </w:r>
            <w:r w:rsidRPr="00E331FB">
              <w:rPr>
                <w:color w:val="0000FF"/>
              </w:rPr>
              <w:tab/>
              <w:t>otherwise, q</w:t>
            </w:r>
            <w:r>
              <w:rPr>
                <w:color w:val="0000FF"/>
              </w:rPr>
              <w:t xml:space="preserve"> </w:t>
            </w:r>
            <w:r w:rsidRPr="00E331FB">
              <w:rPr>
                <w:color w:val="0000FF"/>
              </w:rPr>
              <w:t>=</w:t>
            </w:r>
            <w:r>
              <w:rPr>
                <w:color w:val="0000FF"/>
              </w:rPr>
              <w:t xml:space="preserve"> </w:t>
            </w:r>
            <w:r w:rsidRPr="00E331FB">
              <w:rPr>
                <w:color w:val="0000FF"/>
              </w:rPr>
              <w:t>x</w:t>
            </w:r>
          </w:p>
          <w:p w:rsidR="00EF4EC1" w:rsidRPr="00E331FB" w:rsidRDefault="00EF4EC1" w:rsidP="00EF4EC1">
            <w:pPr>
              <w:pStyle w:val="Slide3"/>
              <w:rPr>
                <w:color w:val="0000FF"/>
              </w:rPr>
            </w:pPr>
            <w:r w:rsidRPr="00E331FB">
              <w:rPr>
                <w:color w:val="0000FF"/>
              </w:rPr>
              <w:t>e</w:t>
            </w:r>
            <w:r w:rsidRPr="00E331FB">
              <w:rPr>
                <w:color w:val="0000FF"/>
              </w:rPr>
              <w:tab/>
              <w:t>=</w:t>
            </w:r>
            <w:r w:rsidRPr="00E331FB">
              <w:rPr>
                <w:color w:val="0000FF"/>
              </w:rPr>
              <w:tab/>
              <w:t>years in period of exempt service</w:t>
            </w:r>
          </w:p>
          <w:p w:rsidR="00EF4EC1" w:rsidRPr="00E331FB" w:rsidRDefault="00EF4EC1" w:rsidP="00EF4EC1">
            <w:pPr>
              <w:pStyle w:val="Slide3"/>
              <w:rPr>
                <w:color w:val="0000FF"/>
              </w:rPr>
            </w:pPr>
            <w:r w:rsidRPr="00E331FB">
              <w:rPr>
                <w:color w:val="0000FF"/>
              </w:rPr>
              <w:t>f</w:t>
            </w:r>
            <w:r w:rsidRPr="00E331FB">
              <w:rPr>
                <w:color w:val="0000FF"/>
              </w:rPr>
              <w:tab/>
              <w:t>=</w:t>
            </w:r>
            <w:r w:rsidRPr="00E331FB">
              <w:rPr>
                <w:color w:val="0000FF"/>
              </w:rPr>
              <w:tab/>
              <w:t>if judge entitled to pension under section 6(2), then f</w:t>
            </w:r>
            <w:r>
              <w:rPr>
                <w:color w:val="0000FF"/>
              </w:rPr>
              <w:t xml:space="preserve"> </w:t>
            </w:r>
            <w:r w:rsidRPr="00E331FB">
              <w:rPr>
                <w:color w:val="0000FF"/>
              </w:rPr>
              <w:t>=</w:t>
            </w:r>
            <w:r>
              <w:rPr>
                <w:color w:val="0000FF"/>
              </w:rPr>
              <w:t xml:space="preserve"> </w:t>
            </w:r>
            <w:r w:rsidRPr="00E331FB">
              <w:rPr>
                <w:color w:val="0000FF"/>
              </w:rPr>
              <w:t>q</w:t>
            </w:r>
            <w:r>
              <w:rPr>
                <w:color w:val="0000FF"/>
              </w:rPr>
              <w:t xml:space="preserve"> </w:t>
            </w:r>
            <w:r>
              <w:rPr>
                <w:color w:val="0000FF"/>
              </w:rPr>
              <w:noBreakHyphen/>
              <w:t xml:space="preserve"> </w:t>
            </w:r>
            <w:r w:rsidRPr="00E331FB">
              <w:rPr>
                <w:color w:val="0000FF"/>
              </w:rPr>
              <w:t>e</w:t>
            </w:r>
          </w:p>
          <w:p w:rsidR="00EF4EC1" w:rsidRDefault="00EF4EC1" w:rsidP="00EF4EC1">
            <w:pPr>
              <w:pStyle w:val="Slide3"/>
              <w:rPr>
                <w:color w:val="0000FF"/>
              </w:rPr>
            </w:pPr>
            <w:r w:rsidRPr="00E331FB">
              <w:rPr>
                <w:color w:val="0000FF"/>
              </w:rPr>
              <w:tab/>
            </w:r>
            <w:r w:rsidRPr="00E331FB">
              <w:rPr>
                <w:color w:val="0000FF"/>
              </w:rPr>
              <w:tab/>
              <w:t>otherwise, f</w:t>
            </w:r>
            <w:r>
              <w:rPr>
                <w:color w:val="0000FF"/>
              </w:rPr>
              <w:t xml:space="preserve"> </w:t>
            </w:r>
            <w:r w:rsidRPr="00E331FB">
              <w:rPr>
                <w:color w:val="0000FF"/>
              </w:rPr>
              <w:t>=</w:t>
            </w:r>
            <w:r>
              <w:rPr>
                <w:color w:val="0000FF"/>
              </w:rPr>
              <w:t xml:space="preserve"> </w:t>
            </w:r>
            <w:r w:rsidRPr="00E331FB">
              <w:rPr>
                <w:color w:val="0000FF"/>
              </w:rPr>
              <w:t>number of financial years in period of serv</w:t>
            </w:r>
            <w:r>
              <w:rPr>
                <w:color w:val="0000FF"/>
              </w:rPr>
              <w:t>ice on and after 21 August 1996</w:t>
            </w:r>
          </w:p>
          <w:p w:rsidR="00EF4EC1" w:rsidRPr="002119B2" w:rsidRDefault="00EF4EC1" w:rsidP="00EF4EC1">
            <w:pPr>
              <w:pStyle w:val="Slide3"/>
              <w:rPr>
                <w:color w:val="0000FF"/>
              </w:rPr>
            </w:pPr>
            <w:r w:rsidRPr="00E331FB">
              <w:rPr>
                <w:color w:val="0000FF"/>
              </w:rPr>
              <w:t>c</w:t>
            </w:r>
            <w:r w:rsidRPr="00E331FB">
              <w:rPr>
                <w:color w:val="0000FF"/>
                <w:vertAlign w:val="subscript"/>
              </w:rPr>
              <w:t>n</w:t>
            </w:r>
            <w:r w:rsidRPr="00E331FB">
              <w:rPr>
                <w:color w:val="0000FF"/>
              </w:rPr>
              <w:tab/>
              <w:t>=</w:t>
            </w:r>
            <w:r w:rsidRPr="00E331FB">
              <w:rPr>
                <w:color w:val="0000FF"/>
              </w:rPr>
              <w:tab/>
              <w:t>rate of superannuation contributions surcharge that applies to the judge for the n</w:t>
            </w:r>
            <w:r w:rsidRPr="00E331FB">
              <w:rPr>
                <w:color w:val="0000FF"/>
                <w:vertAlign w:val="superscript"/>
              </w:rPr>
              <w:t>th</w:t>
            </w:r>
            <w:r>
              <w:rPr>
                <w:color w:val="0000FF"/>
              </w:rPr>
              <w:t xml:space="preserve"> financial year.</w:t>
            </w:r>
          </w:p>
        </w:tc>
      </w:tr>
    </w:tbl>
    <w:p w:rsidR="00EF4EC1" w:rsidRPr="007D7133" w:rsidRDefault="00EF4EC1" w:rsidP="00EF4EC1">
      <w:pPr>
        <w:pStyle w:val="Normaltext1"/>
      </w:pPr>
      <w:r w:rsidRPr="007D7133">
        <w:lastRenderedPageBreak/>
        <w:t>Example 41 is an example of a provision set out in words using a step by step method statement approach, which is an approach that has been adopted in some jurisdictions, particularly in tax legislation. It has been explained as intended to enable a taxpayer to understand how the calculation is being made.</w:t>
      </w:r>
    </w:p>
    <w:p w:rsidR="00EF4EC1" w:rsidRPr="007D7133" w:rsidRDefault="00EF4EC1" w:rsidP="00EF4EC1">
      <w:pPr>
        <w:pStyle w:val="Normaltext1"/>
      </w:pPr>
      <w:r w:rsidRPr="007D7133">
        <w:t xml:space="preserve">It would be of interest to know whether taxpayers and their advisers do in fact find this approach easier to understand, and whether they find it valuable to understanding the method. Personally, as a taxpayer, I am more interested in finding out, as quickly and painlessly as possible, how much tax I have to pay and would prefer a single formula. </w:t>
      </w:r>
      <w:r>
        <w:t>But</w:t>
      </w:r>
      <w:r w:rsidRPr="007D7133">
        <w:t xml:space="preserve"> no doubt </w:t>
      </w:r>
      <w:r>
        <w:t xml:space="preserve">there are </w:t>
      </w:r>
      <w:r w:rsidRPr="007D7133">
        <w:t>as many opinions on that as there are taxpayers. The alternative version in Example 41</w:t>
      </w:r>
      <w:r>
        <w:t xml:space="preserve"> shows how</w:t>
      </w:r>
      <w:r w:rsidRPr="007D7133">
        <w:t xml:space="preserve"> the calculation might be shown as a formula. </w:t>
      </w:r>
      <w:r>
        <w:t xml:space="preserve"> </w:t>
      </w:r>
    </w:p>
    <w:p w:rsidR="00EF4EC1" w:rsidRPr="00616683" w:rsidRDefault="00EF4EC1" w:rsidP="00EF4EC1">
      <w:pPr>
        <w:pStyle w:val="Slidelabel"/>
      </w:pPr>
      <w:bookmarkStart w:id="200" w:name="_Ref475979489"/>
      <w:r w:rsidRPr="00616683">
        <w:t>Method statement approach</w:t>
      </w:r>
      <w:bookmarkEnd w:id="200"/>
      <w:r w:rsidRPr="00616683">
        <w:t xml:space="preserve"> </w:t>
      </w:r>
    </w:p>
    <w:tbl>
      <w:tblPr>
        <w:tblStyle w:val="TableGrid"/>
        <w:tblW w:w="0" w:type="auto"/>
        <w:tblInd w:w="567" w:type="dxa"/>
        <w:shd w:val="clear" w:color="auto" w:fill="FFFFFF"/>
        <w:tblLayout w:type="fixed"/>
        <w:tblCellMar>
          <w:top w:w="57" w:type="dxa"/>
          <w:left w:w="57" w:type="dxa"/>
          <w:bottom w:w="170" w:type="dxa"/>
          <w:right w:w="57" w:type="dxa"/>
        </w:tblCellMar>
        <w:tblLook w:val="0600" w:firstRow="0" w:lastRow="0" w:firstColumn="0" w:lastColumn="0" w:noHBand="1" w:noVBand="1"/>
      </w:tblPr>
      <w:tblGrid>
        <w:gridCol w:w="8505"/>
      </w:tblGrid>
      <w:tr w:rsidR="00EF4EC1" w:rsidRPr="00525396" w:rsidTr="00EF4EC1">
        <w:tc>
          <w:tcPr>
            <w:tcW w:w="8505" w:type="dxa"/>
            <w:shd w:val="clear" w:color="auto" w:fill="FFFFFF"/>
          </w:tcPr>
          <w:p w:rsidR="00EF4EC1" w:rsidRPr="00E331FB" w:rsidRDefault="00EF4EC1" w:rsidP="00EF4EC1">
            <w:pPr>
              <w:pStyle w:val="Slide2"/>
              <w:rPr>
                <w:b/>
                <w:color w:val="0000FF"/>
              </w:rPr>
            </w:pPr>
            <w:bookmarkStart w:id="201" w:name="_Toc179347485"/>
            <w:r w:rsidRPr="00E331FB">
              <w:rPr>
                <w:b/>
                <w:color w:val="0000FF"/>
                <w:lang w:val="en-AU"/>
              </w:rPr>
              <w:t>5B</w:t>
            </w:r>
            <w:r w:rsidRPr="00E331FB">
              <w:rPr>
                <w:b/>
                <w:color w:val="0000FF"/>
                <w:lang w:val="en-AU"/>
              </w:rPr>
              <w:tab/>
            </w:r>
            <w:r w:rsidRPr="00E331FB">
              <w:rPr>
                <w:b/>
                <w:color w:val="0000FF"/>
              </w:rPr>
              <w:t xml:space="preserve">Working out an employer’s </w:t>
            </w:r>
            <w:r w:rsidRPr="00E331FB">
              <w:rPr>
                <w:b/>
                <w:i/>
                <w:color w:val="0000FF"/>
              </w:rPr>
              <w:t>fringe benefits taxable amount</w:t>
            </w:r>
            <w:bookmarkEnd w:id="201"/>
          </w:p>
          <w:p w:rsidR="00EF4EC1" w:rsidRPr="00E331FB" w:rsidRDefault="00EF4EC1" w:rsidP="00EF4EC1">
            <w:pPr>
              <w:pStyle w:val="Slide2"/>
              <w:rPr>
                <w:color w:val="0000FF"/>
              </w:rPr>
            </w:pPr>
            <w:r w:rsidRPr="00E331FB">
              <w:rPr>
                <w:color w:val="0000FF"/>
              </w:rPr>
              <w:t>(1A)</w:t>
            </w:r>
            <w:r w:rsidRPr="00E331FB">
              <w:rPr>
                <w:color w:val="0000FF"/>
              </w:rPr>
              <w:tab/>
              <w:t xml:space="preserve">Subject to subsection (1D), an employer’s </w:t>
            </w:r>
            <w:r w:rsidRPr="00E331FB">
              <w:rPr>
                <w:b/>
                <w:i/>
                <w:color w:val="0000FF"/>
              </w:rPr>
              <w:t>fringe benefits taxable amount</w:t>
            </w:r>
            <w:r w:rsidRPr="00E331FB">
              <w:rPr>
                <w:color w:val="0000FF"/>
              </w:rPr>
              <w:t xml:space="preserve"> for a year of tax is the sum of the subsection (1B) amount and the subsection (1C) amount.</w:t>
            </w:r>
          </w:p>
          <w:p w:rsidR="00EF4EC1" w:rsidRPr="00E331FB" w:rsidRDefault="00EF4EC1" w:rsidP="00EF4EC1">
            <w:pPr>
              <w:pStyle w:val="Slide2"/>
              <w:rPr>
                <w:color w:val="0000FF"/>
              </w:rPr>
            </w:pPr>
            <w:r w:rsidRPr="00E331FB">
              <w:rPr>
                <w:color w:val="0000FF"/>
              </w:rPr>
              <w:t>(1B)</w:t>
            </w:r>
            <w:r w:rsidRPr="00E331FB">
              <w:rPr>
                <w:color w:val="0000FF"/>
              </w:rPr>
              <w:tab/>
              <w:t xml:space="preserve">The </w:t>
            </w:r>
            <w:r w:rsidRPr="00E331FB">
              <w:rPr>
                <w:b/>
                <w:bCs/>
                <w:i/>
                <w:iCs/>
                <w:color w:val="0000FF"/>
              </w:rPr>
              <w:t>subsection (1B) amount</w:t>
            </w:r>
            <w:r w:rsidRPr="00E331FB">
              <w:rPr>
                <w:color w:val="0000FF"/>
              </w:rPr>
              <w:t xml:space="preserve"> is the amount worked out using the formula:</w:t>
            </w:r>
          </w:p>
          <w:p w:rsidR="00EF4EC1" w:rsidRPr="00E3490E" w:rsidRDefault="00D22D1E" w:rsidP="00EF4EC1">
            <w:pPr>
              <w:pStyle w:val="SlideEquation"/>
              <w:ind w:left="851"/>
              <w:rPr>
                <w:color w:val="0000FF"/>
                <w:sz w:val="20"/>
                <w:szCs w:val="20"/>
                <w:oMath/>
              </w:rPr>
            </w:pPr>
            <m:oMathPara>
              <m:oMathParaPr>
                <m:jc m:val="left"/>
              </m:oMathParaPr>
              <m:oMath>
                <m:d>
                  <m:dPr>
                    <m:ctrlPr>
                      <w:rPr>
                        <w:rFonts w:ascii="Cambria Math" w:hAnsi="Cambria Math"/>
                        <w:snapToGrid/>
                        <w:color w:val="F8F8F8"/>
                        <w:sz w:val="20"/>
                        <w:szCs w:val="20"/>
                      </w:rPr>
                    </m:ctrlPr>
                  </m:dPr>
                  <m:e>
                    <m:eqArr>
                      <m:eqArrPr>
                        <m:ctrlPr>
                          <w:rPr>
                            <w:rFonts w:ascii="Cambria Math" w:hAnsi="Cambria Math"/>
                            <w:i/>
                            <w:color w:val="0000FF"/>
                            <w:sz w:val="20"/>
                            <w:szCs w:val="20"/>
                          </w:rPr>
                        </m:ctrlPr>
                      </m:eqArrPr>
                      <m:e>
                        <m:r>
                          <m:rPr>
                            <m:nor/>
                          </m:rPr>
                          <w:rPr>
                            <w:color w:val="0000FF"/>
                            <w:sz w:val="20"/>
                            <w:szCs w:val="20"/>
                          </w:rPr>
                          <m:t xml:space="preserve">Type 1 </m:t>
                        </m:r>
                      </m:e>
                      <m:e>
                        <m:r>
                          <m:rPr>
                            <m:nor/>
                          </m:rPr>
                          <w:rPr>
                            <w:color w:val="0000FF"/>
                            <w:sz w:val="20"/>
                            <w:szCs w:val="20"/>
                          </w:rPr>
                          <m:t xml:space="preserve">aggregate </m:t>
                        </m:r>
                        <m:ctrlPr>
                          <w:rPr>
                            <w:rFonts w:ascii="Cambria Math" w:eastAsia="Cambria Math" w:hAnsi="Cambria Math"/>
                            <w:i/>
                            <w:color w:val="0000FF"/>
                            <w:sz w:val="20"/>
                            <w:szCs w:val="20"/>
                          </w:rPr>
                        </m:ctrlPr>
                      </m:e>
                      <m:e>
                        <m:r>
                          <m:rPr>
                            <m:nor/>
                          </m:rPr>
                          <w:rPr>
                            <w:color w:val="0000FF"/>
                            <w:sz w:val="20"/>
                            <w:szCs w:val="20"/>
                          </w:rPr>
                          <m:t xml:space="preserve">fringe benefits </m:t>
                        </m:r>
                        <m:ctrlPr>
                          <w:rPr>
                            <w:rFonts w:ascii="Cambria Math" w:eastAsia="Cambria Math" w:hAnsi="Cambria Math"/>
                            <w:i/>
                            <w:color w:val="0000FF"/>
                            <w:sz w:val="20"/>
                            <w:szCs w:val="20"/>
                          </w:rPr>
                        </m:ctrlPr>
                      </m:e>
                      <m:e>
                        <m:r>
                          <m:rPr>
                            <m:nor/>
                          </m:rPr>
                          <w:rPr>
                            <w:color w:val="0000FF"/>
                            <w:sz w:val="20"/>
                            <w:szCs w:val="20"/>
                          </w:rPr>
                          <m:t xml:space="preserve">amount </m:t>
                        </m:r>
                      </m:e>
                    </m:eqArr>
                  </m:e>
                </m:d>
                <m:r>
                  <m:rPr>
                    <m:nor/>
                  </m:rPr>
                  <w:rPr>
                    <w:rFonts w:ascii="Cambria Math" w:hAnsi="Cambria Math"/>
                    <w:color w:val="0000FF"/>
                    <w:sz w:val="20"/>
                    <w:szCs w:val="20"/>
                  </w:rPr>
                  <m:t>×</m:t>
                </m:r>
                <m:r>
                  <m:rPr>
                    <m:nor/>
                  </m:rPr>
                  <w:rPr>
                    <w:color w:val="0000FF"/>
                    <w:sz w:val="20"/>
                    <w:szCs w:val="20"/>
                  </w:rPr>
                  <m:t xml:space="preserve"> </m:t>
                </m:r>
                <m:f>
                  <m:fPr>
                    <m:ctrlPr>
                      <w:rPr>
                        <w:rFonts w:ascii="Cambria Math" w:hAnsi="Cambria Math"/>
                        <w:i/>
                        <w:snapToGrid/>
                        <w:color w:val="0000FF"/>
                        <w:sz w:val="20"/>
                        <w:szCs w:val="20"/>
                      </w:rPr>
                    </m:ctrlPr>
                  </m:fPr>
                  <m:num>
                    <m:r>
                      <m:rPr>
                        <m:nor/>
                      </m:rPr>
                      <w:rPr>
                        <w:color w:val="0000FF"/>
                        <w:sz w:val="20"/>
                        <w:szCs w:val="20"/>
                      </w:rPr>
                      <m:t xml:space="preserve">FBT rate </m:t>
                    </m:r>
                    <m:r>
                      <m:rPr>
                        <m:nor/>
                      </m:rPr>
                      <w:rPr>
                        <w:rFonts w:ascii="Cambria Math" w:hAnsi="Cambria Math"/>
                        <w:color w:val="0000FF"/>
                        <w:sz w:val="20"/>
                        <w:szCs w:val="20"/>
                      </w:rPr>
                      <m:t>+</m:t>
                    </m:r>
                    <m:r>
                      <m:rPr>
                        <m:nor/>
                      </m:rPr>
                      <w:rPr>
                        <w:rFonts w:ascii="Cambria Math"/>
                        <w:color w:val="0000FF"/>
                        <w:sz w:val="20"/>
                        <w:szCs w:val="20"/>
                      </w:rPr>
                      <m:t xml:space="preserve"> </m:t>
                    </m:r>
                    <m:r>
                      <m:rPr>
                        <m:nor/>
                      </m:rPr>
                      <w:rPr>
                        <w:color w:val="0000FF"/>
                        <w:sz w:val="20"/>
                        <w:szCs w:val="20"/>
                      </w:rPr>
                      <m:t>GST rate</m:t>
                    </m:r>
                  </m:num>
                  <m:den>
                    <m:d>
                      <m:dPr>
                        <m:ctrlPr>
                          <w:rPr>
                            <w:rFonts w:ascii="Cambria Math" w:hAnsi="Cambria Math"/>
                            <w:i/>
                            <w:snapToGrid/>
                            <w:color w:val="0000FF"/>
                            <w:sz w:val="20"/>
                            <w:szCs w:val="20"/>
                          </w:rPr>
                        </m:ctrlPr>
                      </m:dPr>
                      <m:e>
                        <m:r>
                          <m:rPr>
                            <m:nor/>
                          </m:rPr>
                          <w:rPr>
                            <w:color w:val="0000FF"/>
                            <w:sz w:val="20"/>
                            <w:szCs w:val="20"/>
                          </w:rPr>
                          <m:t>1</m:t>
                        </m:r>
                        <m:r>
                          <m:rPr>
                            <m:sty m:val="p"/>
                          </m:rPr>
                          <w:rPr>
                            <w:rFonts w:ascii="Cambria Math" w:hAnsi="Cambria Math"/>
                            <w:color w:val="0000FF"/>
                            <w:sz w:val="20"/>
                            <w:szCs w:val="20"/>
                          </w:rPr>
                          <m:t>-</m:t>
                        </m:r>
                        <m:r>
                          <m:rPr>
                            <m:nor/>
                          </m:rPr>
                          <w:rPr>
                            <w:rFonts w:ascii="Cambria Math"/>
                            <w:color w:val="0000FF"/>
                            <w:sz w:val="20"/>
                            <w:szCs w:val="20"/>
                          </w:rPr>
                          <m:t xml:space="preserve"> </m:t>
                        </m:r>
                        <m:r>
                          <m:rPr>
                            <m:nor/>
                          </m:rPr>
                          <w:rPr>
                            <w:color w:val="0000FF"/>
                            <w:sz w:val="20"/>
                            <w:szCs w:val="20"/>
                          </w:rPr>
                          <m:t>FBT rate</m:t>
                        </m:r>
                      </m:e>
                    </m:d>
                    <m:r>
                      <m:rPr>
                        <m:nor/>
                      </m:rPr>
                      <w:rPr>
                        <w:color w:val="0000FF"/>
                        <w:sz w:val="20"/>
                        <w:szCs w:val="20"/>
                      </w:rPr>
                      <m:t xml:space="preserve"> </m:t>
                    </m:r>
                    <m:r>
                      <m:rPr>
                        <m:nor/>
                      </m:rPr>
                      <w:rPr>
                        <w:rFonts w:ascii="Cambria Math" w:hAnsi="Cambria Math"/>
                        <w:color w:val="0000FF"/>
                        <w:sz w:val="20"/>
                        <w:szCs w:val="20"/>
                      </w:rPr>
                      <m:t>×</m:t>
                    </m:r>
                    <m:r>
                      <m:rPr>
                        <m:nor/>
                      </m:rPr>
                      <w:rPr>
                        <w:color w:val="0000FF"/>
                        <w:sz w:val="20"/>
                        <w:szCs w:val="20"/>
                      </w:rPr>
                      <m:t xml:space="preserve"> </m:t>
                    </m:r>
                    <m:d>
                      <m:dPr>
                        <m:ctrlPr>
                          <w:rPr>
                            <w:rFonts w:ascii="Cambria Math" w:hAnsi="Cambria Math"/>
                            <w:i/>
                            <w:snapToGrid/>
                            <w:color w:val="0000FF"/>
                            <w:sz w:val="20"/>
                            <w:szCs w:val="20"/>
                          </w:rPr>
                        </m:ctrlPr>
                      </m:dPr>
                      <m:e>
                        <m:r>
                          <m:rPr>
                            <m:nor/>
                          </m:rPr>
                          <w:rPr>
                            <w:color w:val="0000FF"/>
                            <w:sz w:val="20"/>
                            <w:szCs w:val="20"/>
                          </w:rPr>
                          <m:t>1 +</m:t>
                        </m:r>
                        <m:r>
                          <m:rPr>
                            <m:nor/>
                          </m:rPr>
                          <w:rPr>
                            <w:rFonts w:ascii="Cambria Math"/>
                            <w:color w:val="0000FF"/>
                            <w:sz w:val="20"/>
                            <w:szCs w:val="20"/>
                          </w:rPr>
                          <m:t xml:space="preserve"> </m:t>
                        </m:r>
                        <m:r>
                          <m:rPr>
                            <m:nor/>
                          </m:rPr>
                          <w:rPr>
                            <w:color w:val="0000FF"/>
                            <w:sz w:val="20"/>
                            <w:szCs w:val="20"/>
                          </w:rPr>
                          <m:t>GST rate</m:t>
                        </m:r>
                      </m:e>
                    </m:d>
                    <m:r>
                      <m:rPr>
                        <m:nor/>
                      </m:rPr>
                      <w:rPr>
                        <w:color w:val="0000FF"/>
                        <w:sz w:val="20"/>
                        <w:szCs w:val="20"/>
                      </w:rPr>
                      <m:t xml:space="preserve"> </m:t>
                    </m:r>
                    <m:r>
                      <m:rPr>
                        <m:nor/>
                      </m:rPr>
                      <w:rPr>
                        <w:rFonts w:ascii="Cambria Math" w:hAnsi="Cambria Math"/>
                        <w:color w:val="0000FF"/>
                        <w:sz w:val="20"/>
                        <w:szCs w:val="20"/>
                      </w:rPr>
                      <m:t>×</m:t>
                    </m:r>
                    <m:r>
                      <m:rPr>
                        <m:nor/>
                      </m:rPr>
                      <w:rPr>
                        <w:rFonts w:ascii="Cambria Math"/>
                        <w:color w:val="0000FF"/>
                        <w:sz w:val="20"/>
                        <w:szCs w:val="20"/>
                      </w:rPr>
                      <m:t xml:space="preserve"> </m:t>
                    </m:r>
                    <m:r>
                      <m:rPr>
                        <m:nor/>
                      </m:rPr>
                      <w:rPr>
                        <w:color w:val="0000FF"/>
                        <w:sz w:val="20"/>
                        <w:szCs w:val="20"/>
                      </w:rPr>
                      <m:t xml:space="preserve">FBT rate </m:t>
                    </m:r>
                  </m:den>
                </m:f>
              </m:oMath>
            </m:oMathPara>
          </w:p>
          <w:p w:rsidR="00EF4EC1" w:rsidRPr="00E331FB" w:rsidRDefault="00EF4EC1" w:rsidP="00EF4EC1">
            <w:pPr>
              <w:pStyle w:val="Slide2"/>
              <w:rPr>
                <w:color w:val="0000FF"/>
              </w:rPr>
            </w:pPr>
            <w:r w:rsidRPr="00E331FB">
              <w:rPr>
                <w:color w:val="0000FF"/>
              </w:rPr>
              <w:t>(1C)</w:t>
            </w:r>
            <w:r w:rsidRPr="00E331FB">
              <w:rPr>
                <w:color w:val="0000FF"/>
              </w:rPr>
              <w:tab/>
              <w:t xml:space="preserve">The </w:t>
            </w:r>
            <w:r w:rsidRPr="00E331FB">
              <w:rPr>
                <w:b/>
                <w:bCs/>
                <w:i/>
                <w:iCs/>
                <w:color w:val="0000FF"/>
              </w:rPr>
              <w:t>subsection (1C) amount</w:t>
            </w:r>
            <w:r w:rsidRPr="00E331FB">
              <w:rPr>
                <w:color w:val="0000FF"/>
              </w:rPr>
              <w:t xml:space="preserve"> is the amount worked out using the formula:</w:t>
            </w:r>
          </w:p>
          <w:p w:rsidR="00EF4EC1" w:rsidRPr="00E3490E" w:rsidRDefault="00D22D1E" w:rsidP="00EF4EC1">
            <w:pPr>
              <w:pStyle w:val="SlideEquation"/>
              <w:ind w:left="851"/>
              <w:rPr>
                <w:color w:val="0000FF"/>
                <w:sz w:val="20"/>
                <w:szCs w:val="20"/>
                <w:oMath/>
              </w:rPr>
            </w:pPr>
            <m:oMathPara>
              <m:oMathParaPr>
                <m:jc m:val="left"/>
              </m:oMathParaPr>
              <m:oMath>
                <m:d>
                  <m:dPr>
                    <m:ctrlPr>
                      <w:rPr>
                        <w:rFonts w:ascii="Cambria Math" w:hAnsi="Cambria Math"/>
                        <w:snapToGrid/>
                        <w:color w:val="F8F8F8"/>
                        <w:sz w:val="20"/>
                        <w:szCs w:val="20"/>
                      </w:rPr>
                    </m:ctrlPr>
                  </m:dPr>
                  <m:e>
                    <m:eqArr>
                      <m:eqArrPr>
                        <m:ctrlPr>
                          <w:rPr>
                            <w:rFonts w:ascii="Cambria Math" w:hAnsi="Cambria Math"/>
                            <w:i/>
                            <w:color w:val="0000FF"/>
                            <w:sz w:val="20"/>
                            <w:szCs w:val="20"/>
                          </w:rPr>
                        </m:ctrlPr>
                      </m:eqArrPr>
                      <m:e>
                        <m:r>
                          <m:rPr>
                            <m:nor/>
                          </m:rPr>
                          <w:rPr>
                            <w:color w:val="0000FF"/>
                            <w:sz w:val="20"/>
                            <w:szCs w:val="20"/>
                          </w:rPr>
                          <m:t xml:space="preserve">Type 2 </m:t>
                        </m:r>
                      </m:e>
                      <m:e>
                        <m:r>
                          <m:rPr>
                            <m:nor/>
                          </m:rPr>
                          <w:rPr>
                            <w:color w:val="0000FF"/>
                            <w:sz w:val="20"/>
                            <w:szCs w:val="20"/>
                          </w:rPr>
                          <m:t xml:space="preserve">aggregate </m:t>
                        </m:r>
                        <m:ctrlPr>
                          <w:rPr>
                            <w:rFonts w:ascii="Cambria Math" w:eastAsia="Cambria Math" w:hAnsi="Cambria Math"/>
                            <w:i/>
                            <w:color w:val="0000FF"/>
                            <w:sz w:val="20"/>
                            <w:szCs w:val="20"/>
                          </w:rPr>
                        </m:ctrlPr>
                      </m:e>
                      <m:e>
                        <m:r>
                          <m:rPr>
                            <m:nor/>
                          </m:rPr>
                          <w:rPr>
                            <w:color w:val="0000FF"/>
                            <w:sz w:val="20"/>
                            <w:szCs w:val="20"/>
                          </w:rPr>
                          <m:t xml:space="preserve">fringe benefits </m:t>
                        </m:r>
                        <m:ctrlPr>
                          <w:rPr>
                            <w:rFonts w:ascii="Cambria Math" w:eastAsia="Cambria Math" w:hAnsi="Cambria Math"/>
                            <w:i/>
                            <w:color w:val="0000FF"/>
                            <w:sz w:val="20"/>
                            <w:szCs w:val="20"/>
                          </w:rPr>
                        </m:ctrlPr>
                      </m:e>
                      <m:e>
                        <m:r>
                          <m:rPr>
                            <m:nor/>
                          </m:rPr>
                          <w:rPr>
                            <w:color w:val="0000FF"/>
                            <w:sz w:val="20"/>
                            <w:szCs w:val="20"/>
                          </w:rPr>
                          <m:t xml:space="preserve">amount </m:t>
                        </m:r>
                      </m:e>
                    </m:eqArr>
                  </m:e>
                </m:d>
                <m:r>
                  <m:rPr>
                    <m:nor/>
                  </m:rPr>
                  <w:rPr>
                    <w:color w:val="0000FF"/>
                    <w:sz w:val="20"/>
                    <w:szCs w:val="20"/>
                  </w:rPr>
                  <m:t xml:space="preserve">× </m:t>
                </m:r>
                <m:f>
                  <m:fPr>
                    <m:ctrlPr>
                      <w:rPr>
                        <w:rFonts w:ascii="Cambria Math" w:hAnsi="Cambria Math"/>
                        <w:i/>
                        <w:snapToGrid/>
                        <w:color w:val="0000FF"/>
                        <w:sz w:val="20"/>
                        <w:szCs w:val="20"/>
                      </w:rPr>
                    </m:ctrlPr>
                  </m:fPr>
                  <m:num>
                    <m:r>
                      <m:rPr>
                        <m:nor/>
                      </m:rPr>
                      <w:rPr>
                        <w:color w:val="0000FF"/>
                        <w:sz w:val="20"/>
                        <w:szCs w:val="20"/>
                      </w:rPr>
                      <m:t>1</m:t>
                    </m:r>
                  </m:num>
                  <m:den>
                    <m:d>
                      <m:dPr>
                        <m:ctrlPr>
                          <w:rPr>
                            <w:rFonts w:ascii="Cambria Math" w:hAnsi="Cambria Math"/>
                            <w:i/>
                            <w:snapToGrid/>
                            <w:color w:val="0000FF"/>
                            <w:sz w:val="20"/>
                            <w:szCs w:val="20"/>
                          </w:rPr>
                        </m:ctrlPr>
                      </m:dPr>
                      <m:e>
                        <m:r>
                          <m:rPr>
                            <m:nor/>
                          </m:rPr>
                          <w:rPr>
                            <w:color w:val="0000FF"/>
                            <w:sz w:val="20"/>
                            <w:szCs w:val="20"/>
                          </w:rPr>
                          <m:t>1</m:t>
                        </m:r>
                        <m:r>
                          <m:rPr>
                            <m:sty m:val="p"/>
                          </m:rPr>
                          <w:rPr>
                            <w:rFonts w:ascii="Cambria Math" w:hAnsi="Cambria Math"/>
                            <w:color w:val="0000FF"/>
                            <w:sz w:val="20"/>
                            <w:szCs w:val="20"/>
                          </w:rPr>
                          <m:t>-</m:t>
                        </m:r>
                        <m:r>
                          <m:rPr>
                            <m:nor/>
                          </m:rPr>
                          <w:rPr>
                            <w:color w:val="0000FF"/>
                            <w:sz w:val="20"/>
                            <w:szCs w:val="20"/>
                          </w:rPr>
                          <m:t xml:space="preserve"> FBT rate</m:t>
                        </m:r>
                      </m:e>
                    </m:d>
                    <m:r>
                      <m:rPr>
                        <m:nor/>
                      </m:rPr>
                      <w:rPr>
                        <w:color w:val="0000FF"/>
                        <w:sz w:val="20"/>
                        <w:szCs w:val="20"/>
                      </w:rPr>
                      <m:t xml:space="preserve"> </m:t>
                    </m:r>
                  </m:den>
                </m:f>
              </m:oMath>
            </m:oMathPara>
          </w:p>
          <w:p w:rsidR="00EF4EC1" w:rsidRPr="00E331FB" w:rsidRDefault="00EF4EC1" w:rsidP="00EF4EC1">
            <w:pPr>
              <w:pStyle w:val="Slide2"/>
              <w:spacing w:before="240"/>
              <w:ind w:firstLine="0"/>
              <w:rPr>
                <w:i/>
                <w:color w:val="0000FF"/>
              </w:rPr>
            </w:pPr>
            <w:r w:rsidRPr="00E331FB">
              <w:rPr>
                <w:i/>
                <w:color w:val="0000FF"/>
              </w:rPr>
              <w:t>Increase in fringe benefits taxable amount for year of tax 2000</w:t>
            </w:r>
            <w:r>
              <w:rPr>
                <w:i/>
                <w:color w:val="0000FF"/>
              </w:rPr>
              <w:noBreakHyphen/>
            </w:r>
            <w:r w:rsidRPr="00E331FB">
              <w:rPr>
                <w:i/>
                <w:color w:val="0000FF"/>
              </w:rPr>
              <w:t>2001 and later years</w:t>
            </w:r>
          </w:p>
          <w:p w:rsidR="00EF4EC1" w:rsidRPr="00E331FB" w:rsidRDefault="00EF4EC1" w:rsidP="00EF4EC1">
            <w:pPr>
              <w:pStyle w:val="Slide2"/>
              <w:rPr>
                <w:color w:val="0000FF"/>
              </w:rPr>
            </w:pPr>
            <w:r w:rsidRPr="00E331FB">
              <w:rPr>
                <w:color w:val="0000FF"/>
              </w:rPr>
              <w:lastRenderedPageBreak/>
              <w:t>(1D)</w:t>
            </w:r>
            <w:r w:rsidRPr="00E331FB">
              <w:rPr>
                <w:color w:val="0000FF"/>
              </w:rPr>
              <w:tab/>
              <w:t xml:space="preserve">If any benefits provided in respect of the employment of an employee of an employer are exempt benefits under section 57A, the employer’s </w:t>
            </w:r>
            <w:r w:rsidRPr="00E331FB">
              <w:rPr>
                <w:b/>
                <w:bCs/>
                <w:i/>
                <w:iCs/>
                <w:color w:val="0000FF"/>
              </w:rPr>
              <w:t xml:space="preserve">fringe benefits taxable amount </w:t>
            </w:r>
            <w:r w:rsidRPr="00E331FB">
              <w:rPr>
                <w:color w:val="0000FF"/>
              </w:rPr>
              <w:t>for the year of tax beginning on 1 April 2000 or a later year of tax as worked out under subsection (1A) is increased by the employer’s aggregate non</w:t>
            </w:r>
            <w:r>
              <w:rPr>
                <w:color w:val="0000FF"/>
              </w:rPr>
              <w:noBreakHyphen/>
            </w:r>
            <w:r w:rsidRPr="00E331FB">
              <w:rPr>
                <w:color w:val="0000FF"/>
              </w:rPr>
              <w:t>exempt amount for the year of tax concerned.</w:t>
            </w:r>
          </w:p>
          <w:p w:rsidR="00EF4EC1" w:rsidRPr="00E331FB" w:rsidRDefault="00EF4EC1" w:rsidP="00EF4EC1">
            <w:pPr>
              <w:pStyle w:val="Slide2"/>
              <w:spacing w:before="240"/>
              <w:ind w:firstLine="0"/>
              <w:rPr>
                <w:i/>
                <w:color w:val="0000FF"/>
              </w:rPr>
            </w:pPr>
            <w:r w:rsidRPr="00E331FB">
              <w:rPr>
                <w:i/>
                <w:color w:val="0000FF"/>
              </w:rPr>
              <w:t>How to work out aggregate non</w:t>
            </w:r>
            <w:r>
              <w:rPr>
                <w:i/>
                <w:color w:val="0000FF"/>
              </w:rPr>
              <w:noBreakHyphen/>
            </w:r>
            <w:r w:rsidRPr="00E331FB">
              <w:rPr>
                <w:i/>
                <w:color w:val="0000FF"/>
              </w:rPr>
              <w:t>exempt amount</w:t>
            </w:r>
          </w:p>
          <w:p w:rsidR="00EF4EC1" w:rsidRPr="00E331FB" w:rsidRDefault="00EF4EC1" w:rsidP="00EF4EC1">
            <w:pPr>
              <w:pStyle w:val="Slide2"/>
              <w:rPr>
                <w:color w:val="0000FF"/>
              </w:rPr>
            </w:pPr>
            <w:r w:rsidRPr="00E331FB">
              <w:rPr>
                <w:color w:val="0000FF"/>
              </w:rPr>
              <w:t>(1E)</w:t>
            </w:r>
            <w:r w:rsidRPr="00E331FB">
              <w:rPr>
                <w:color w:val="0000FF"/>
              </w:rPr>
              <w:tab/>
              <w:t xml:space="preserve">An employer’s </w:t>
            </w:r>
            <w:r w:rsidRPr="00E331FB">
              <w:rPr>
                <w:b/>
                <w:bCs/>
                <w:i/>
                <w:iCs/>
                <w:color w:val="0000FF"/>
              </w:rPr>
              <w:t>aggregate non</w:t>
            </w:r>
            <w:r>
              <w:rPr>
                <w:b/>
                <w:bCs/>
                <w:i/>
                <w:iCs/>
                <w:color w:val="0000FF"/>
              </w:rPr>
              <w:noBreakHyphen/>
            </w:r>
            <w:r w:rsidRPr="00E331FB">
              <w:rPr>
                <w:b/>
                <w:bCs/>
                <w:i/>
                <w:iCs/>
                <w:color w:val="0000FF"/>
              </w:rPr>
              <w:t>exempt amount</w:t>
            </w:r>
            <w:r w:rsidRPr="00E331FB">
              <w:rPr>
                <w:color w:val="0000FF"/>
              </w:rPr>
              <w:t xml:space="preserve"> for the year of tax is worked out as follows.</w:t>
            </w:r>
          </w:p>
          <w:tbl>
            <w:tblPr>
              <w:tblStyle w:val="TableGrid"/>
              <w:tblW w:w="0" w:type="auto"/>
              <w:tblInd w:w="567" w:type="dxa"/>
              <w:tblLayout w:type="fixed"/>
              <w:tblLook w:val="04A0" w:firstRow="1" w:lastRow="0" w:firstColumn="1" w:lastColumn="0" w:noHBand="0" w:noVBand="1"/>
            </w:tblPr>
            <w:tblGrid>
              <w:gridCol w:w="7654"/>
            </w:tblGrid>
            <w:tr w:rsidR="00EF4EC1" w:rsidRPr="00E331FB" w:rsidTr="00EF4EC1">
              <w:tc>
                <w:tcPr>
                  <w:tcW w:w="7654" w:type="dxa"/>
                </w:tcPr>
                <w:p w:rsidR="00EF4EC1" w:rsidRPr="00E331FB" w:rsidRDefault="00EF4EC1" w:rsidP="00EF4EC1">
                  <w:pPr>
                    <w:pStyle w:val="Slide2"/>
                    <w:rPr>
                      <w:i/>
                      <w:color w:val="0000FF"/>
                      <w:sz w:val="20"/>
                      <w:szCs w:val="20"/>
                      <w:lang w:val="en-AU"/>
                    </w:rPr>
                  </w:pPr>
                  <w:r w:rsidRPr="00E331FB">
                    <w:rPr>
                      <w:i/>
                      <w:color w:val="0000FF"/>
                      <w:sz w:val="20"/>
                      <w:szCs w:val="20"/>
                      <w:lang w:val="en-AU"/>
                    </w:rPr>
                    <w:t>Method statement</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1</w:t>
                  </w:r>
                  <w:r w:rsidRPr="00E331FB">
                    <w:rPr>
                      <w:color w:val="0000FF"/>
                      <w:sz w:val="20"/>
                      <w:szCs w:val="20"/>
                      <w:lang w:val="en-AU"/>
                    </w:rPr>
                    <w:t>.</w:t>
                  </w:r>
                  <w:r w:rsidRPr="00E331FB">
                    <w:rPr>
                      <w:color w:val="0000FF"/>
                      <w:sz w:val="20"/>
                      <w:szCs w:val="20"/>
                      <w:lang w:val="en-AU"/>
                    </w:rPr>
                    <w:tab/>
                    <w:t>For each employee, add:</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(a)</w:t>
                  </w:r>
                  <w:r w:rsidRPr="00E331FB">
                    <w:rPr>
                      <w:color w:val="0000FF"/>
                      <w:sz w:val="20"/>
                      <w:szCs w:val="20"/>
                      <w:lang w:val="en-AU"/>
                    </w:rPr>
                    <w:tab/>
                    <w:t>the individual grossed</w:t>
                  </w:r>
                  <w:r>
                    <w:rPr>
                      <w:color w:val="0000FF"/>
                      <w:sz w:val="20"/>
                      <w:szCs w:val="20"/>
                      <w:lang w:val="en-AU"/>
                    </w:rPr>
                    <w:noBreakHyphen/>
                  </w:r>
                  <w:r w:rsidRPr="00E331FB">
                    <w:rPr>
                      <w:color w:val="0000FF"/>
                      <w:sz w:val="20"/>
                      <w:szCs w:val="20"/>
                      <w:lang w:val="en-AU"/>
                    </w:rPr>
                    <w:t>up type 1 non</w:t>
                  </w:r>
                  <w:r>
                    <w:rPr>
                      <w:color w:val="0000FF"/>
                      <w:sz w:val="20"/>
                      <w:szCs w:val="20"/>
                      <w:lang w:val="en-AU"/>
                    </w:rPr>
                    <w:noBreakHyphen/>
                  </w:r>
                  <w:r w:rsidRPr="00E331FB">
                    <w:rPr>
                      <w:color w:val="0000FF"/>
                      <w:sz w:val="20"/>
                      <w:szCs w:val="20"/>
                      <w:lang w:val="en-AU"/>
                    </w:rPr>
                    <w:t>exempt amount (see subsection (1F)) in relation to the employer for the year of tax; and</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(b)</w:t>
                  </w:r>
                  <w:r w:rsidRPr="00E331FB">
                    <w:rPr>
                      <w:color w:val="0000FF"/>
                      <w:sz w:val="20"/>
                      <w:szCs w:val="20"/>
                      <w:lang w:val="en-AU"/>
                    </w:rPr>
                    <w:tab/>
                    <w:t>the individual grossed</w:t>
                  </w:r>
                  <w:r>
                    <w:rPr>
                      <w:color w:val="0000FF"/>
                      <w:sz w:val="20"/>
                      <w:szCs w:val="20"/>
                      <w:lang w:val="en-AU"/>
                    </w:rPr>
                    <w:noBreakHyphen/>
                  </w:r>
                  <w:r w:rsidRPr="00E331FB">
                    <w:rPr>
                      <w:color w:val="0000FF"/>
                      <w:sz w:val="20"/>
                      <w:szCs w:val="20"/>
                      <w:lang w:val="en-AU"/>
                    </w:rPr>
                    <w:t>up type 2 non</w:t>
                  </w:r>
                  <w:r>
                    <w:rPr>
                      <w:color w:val="0000FF"/>
                      <w:sz w:val="20"/>
                      <w:szCs w:val="20"/>
                      <w:lang w:val="en-AU"/>
                    </w:rPr>
                    <w:noBreakHyphen/>
                  </w:r>
                  <w:r w:rsidRPr="00E331FB">
                    <w:rPr>
                      <w:color w:val="0000FF"/>
                      <w:sz w:val="20"/>
                      <w:szCs w:val="20"/>
                      <w:lang w:val="en-AU"/>
                    </w:rPr>
                    <w:t>exempt amount (see subsection (1G)) in relation to the employer for the year of tax.</w:t>
                  </w:r>
                </w:p>
                <w:p w:rsidR="00EF4EC1" w:rsidRPr="00E331FB" w:rsidRDefault="00EF4EC1" w:rsidP="00EF4EC1">
                  <w:pPr>
                    <w:pStyle w:val="Slide2"/>
                    <w:ind w:left="737" w:hanging="737"/>
                    <w:rPr>
                      <w:color w:val="0000FF"/>
                      <w:sz w:val="20"/>
                      <w:szCs w:val="20"/>
                      <w:lang w:val="en-AU"/>
                    </w:rPr>
                  </w:pPr>
                  <w:r w:rsidRPr="00E331FB">
                    <w:rPr>
                      <w:color w:val="0000FF"/>
                      <w:sz w:val="20"/>
                      <w:szCs w:val="20"/>
                      <w:lang w:val="en-AU"/>
                    </w:rPr>
                    <w:tab/>
                    <w:t xml:space="preserve">The result is the </w:t>
                  </w:r>
                  <w:r w:rsidRPr="00E331FB">
                    <w:rPr>
                      <w:b/>
                      <w:i/>
                      <w:color w:val="0000FF"/>
                      <w:sz w:val="20"/>
                      <w:szCs w:val="20"/>
                      <w:lang w:val="en-AU"/>
                    </w:rPr>
                    <w:t>individual grossed</w:t>
                  </w:r>
                  <w:r>
                    <w:rPr>
                      <w:b/>
                      <w:i/>
                      <w:color w:val="0000FF"/>
                      <w:sz w:val="20"/>
                      <w:szCs w:val="20"/>
                      <w:lang w:val="en-AU"/>
                    </w:rPr>
                    <w:noBreakHyphen/>
                  </w:r>
                  <w:r w:rsidRPr="00E331FB">
                    <w:rPr>
                      <w:b/>
                      <w:i/>
                      <w:color w:val="0000FF"/>
                      <w:sz w:val="20"/>
                      <w:szCs w:val="20"/>
                      <w:lang w:val="en-AU"/>
                    </w:rPr>
                    <w:t>up non</w:t>
                  </w:r>
                  <w:r>
                    <w:rPr>
                      <w:b/>
                      <w:i/>
                      <w:color w:val="0000FF"/>
                      <w:sz w:val="20"/>
                      <w:szCs w:val="20"/>
                      <w:lang w:val="en-AU"/>
                    </w:rPr>
                    <w:noBreakHyphen/>
                  </w:r>
                  <w:r w:rsidRPr="00E331FB">
                    <w:rPr>
                      <w:b/>
                      <w:i/>
                      <w:color w:val="0000FF"/>
                      <w:sz w:val="20"/>
                      <w:szCs w:val="20"/>
                      <w:lang w:val="en-AU"/>
                    </w:rPr>
                    <w:t>exempt amount</w:t>
                  </w:r>
                  <w:r w:rsidRPr="00E331FB">
                    <w:rPr>
                      <w:color w:val="0000FF"/>
                      <w:sz w:val="20"/>
                      <w:szCs w:val="20"/>
                      <w:lang w:val="en-AU"/>
                    </w:rPr>
                    <w:t xml:space="preserve"> for the employee.</w:t>
                  </w:r>
                </w:p>
                <w:p w:rsidR="00EF4EC1" w:rsidRDefault="00EF4EC1" w:rsidP="00EF4EC1">
                  <w:pPr>
                    <w:pStyle w:val="Slide2"/>
                    <w:ind w:left="737" w:hanging="737"/>
                    <w:rPr>
                      <w:i/>
                      <w:color w:val="0000FF"/>
                      <w:sz w:val="20"/>
                      <w:szCs w:val="20"/>
                      <w:lang w:val="en-AU"/>
                    </w:rPr>
                  </w:pP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2</w:t>
                  </w:r>
                  <w:r w:rsidRPr="00E331FB">
                    <w:rPr>
                      <w:color w:val="0000FF"/>
                      <w:sz w:val="20"/>
                      <w:szCs w:val="20"/>
                      <w:lang w:val="en-AU"/>
                    </w:rPr>
                    <w:t>.</w:t>
                  </w:r>
                  <w:r w:rsidRPr="00E331FB">
                    <w:rPr>
                      <w:color w:val="0000FF"/>
                      <w:sz w:val="20"/>
                      <w:szCs w:val="20"/>
                      <w:lang w:val="en-AU"/>
                    </w:rPr>
                    <w:tab/>
                    <w:t>If:</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(a)</w:t>
                  </w:r>
                  <w:r w:rsidRPr="00E331FB">
                    <w:rPr>
                      <w:color w:val="0000FF"/>
                      <w:sz w:val="20"/>
                      <w:szCs w:val="20"/>
                      <w:lang w:val="en-AU"/>
                    </w:rPr>
                    <w:tab/>
                    <w:t>the employer is a government body and the duties of the employment of one or more employees are as described in paragraph 57A(2)(b) (which is about duties of employment being exclusively performed in or in connection with certain hospitals); or</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(b)</w:t>
                  </w:r>
                  <w:r w:rsidRPr="00E331FB">
                    <w:rPr>
                      <w:color w:val="0000FF"/>
                      <w:sz w:val="20"/>
                      <w:szCs w:val="20"/>
                      <w:lang w:val="en-AU"/>
                    </w:rPr>
                    <w:tab/>
                    <w:t>the employer is a public hospital; or</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(c)</w:t>
                  </w:r>
                  <w:r w:rsidRPr="00E331FB">
                    <w:rPr>
                      <w:color w:val="0000FF"/>
                      <w:sz w:val="20"/>
                      <w:szCs w:val="20"/>
                      <w:lang w:val="en-AU"/>
                    </w:rPr>
                    <w:tab/>
                    <w:t>the employer provides public ambulance services or services that support those services and the employee is predominantly involved in connection with the provision of those services; or</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(d)</w:t>
                  </w:r>
                  <w:r w:rsidRPr="00E331FB">
                    <w:rPr>
                      <w:color w:val="0000FF"/>
                      <w:sz w:val="20"/>
                      <w:szCs w:val="20"/>
                      <w:lang w:val="en-AU"/>
                    </w:rPr>
                    <w:tab/>
                    <w:t>the employer is a hospital described in subsection 57A(4) (which is about hospitals carried on by non</w:t>
                  </w:r>
                  <w:r>
                    <w:rPr>
                      <w:color w:val="0000FF"/>
                      <w:sz w:val="20"/>
                      <w:szCs w:val="20"/>
                      <w:lang w:val="en-AU"/>
                    </w:rPr>
                    <w:noBreakHyphen/>
                  </w:r>
                  <w:r w:rsidRPr="00E331FB">
                    <w:rPr>
                      <w:color w:val="0000FF"/>
                      <w:sz w:val="20"/>
                      <w:szCs w:val="20"/>
                      <w:lang w:val="en-AU"/>
                    </w:rPr>
                    <w:t>profit societies and associations);</w:t>
                  </w:r>
                </w:p>
                <w:p w:rsidR="00EF4EC1" w:rsidRPr="00E331FB" w:rsidRDefault="00EF4EC1" w:rsidP="00EF4EC1">
                  <w:pPr>
                    <w:pStyle w:val="Slide2"/>
                    <w:ind w:left="737" w:hanging="737"/>
                    <w:rPr>
                      <w:color w:val="0000FF"/>
                      <w:sz w:val="20"/>
                      <w:szCs w:val="20"/>
                      <w:lang w:val="en-AU"/>
                    </w:rPr>
                  </w:pPr>
                  <w:r w:rsidRPr="00E331FB">
                    <w:rPr>
                      <w:color w:val="0000FF"/>
                      <w:sz w:val="20"/>
                      <w:szCs w:val="20"/>
                      <w:lang w:val="en-AU"/>
                    </w:rPr>
                    <w:tab/>
                    <w:t>subtract $17,000 from the individual grossed</w:t>
                  </w:r>
                  <w:r>
                    <w:rPr>
                      <w:color w:val="0000FF"/>
                      <w:sz w:val="20"/>
                      <w:szCs w:val="20"/>
                      <w:lang w:val="en-AU"/>
                    </w:rPr>
                    <w:noBreakHyphen/>
                  </w:r>
                  <w:r w:rsidRPr="00E331FB">
                    <w:rPr>
                      <w:color w:val="0000FF"/>
                      <w:sz w:val="20"/>
                      <w:szCs w:val="20"/>
                      <w:lang w:val="en-AU"/>
                    </w:rPr>
                    <w:t>up non</w:t>
                  </w:r>
                  <w:r>
                    <w:rPr>
                      <w:color w:val="0000FF"/>
                      <w:sz w:val="20"/>
                      <w:szCs w:val="20"/>
                      <w:lang w:val="en-AU"/>
                    </w:rPr>
                    <w:noBreakHyphen/>
                  </w:r>
                  <w:r w:rsidRPr="00E331FB">
                    <w:rPr>
                      <w:color w:val="0000FF"/>
                      <w:sz w:val="20"/>
                      <w:szCs w:val="20"/>
                      <w:lang w:val="en-AU"/>
                    </w:rPr>
                    <w:t>exempt amount for each employee of the employer referred to in paragraph (c), (ca) or (d), or each employee referred to in paragraph (b), for the year of tax. However, if the individual grossed</w:t>
                  </w:r>
                  <w:r>
                    <w:rPr>
                      <w:color w:val="0000FF"/>
                      <w:sz w:val="20"/>
                      <w:szCs w:val="20"/>
                      <w:lang w:val="en-AU"/>
                    </w:rPr>
                    <w:noBreakHyphen/>
                  </w:r>
                  <w:r w:rsidRPr="00E331FB">
                    <w:rPr>
                      <w:color w:val="0000FF"/>
                      <w:sz w:val="20"/>
                      <w:szCs w:val="20"/>
                      <w:lang w:val="en-AU"/>
                    </w:rPr>
                    <w:t>up non</w:t>
                  </w:r>
                  <w:r>
                    <w:rPr>
                      <w:color w:val="0000FF"/>
                      <w:sz w:val="20"/>
                      <w:szCs w:val="20"/>
                      <w:lang w:val="en-AU"/>
                    </w:rPr>
                    <w:noBreakHyphen/>
                  </w:r>
                  <w:r w:rsidRPr="00E331FB">
                    <w:rPr>
                      <w:color w:val="0000FF"/>
                      <w:sz w:val="20"/>
                      <w:szCs w:val="20"/>
                      <w:lang w:val="en-AU"/>
                    </w:rPr>
                    <w:t>exempt amount for such an employee is equal to or less than $17</w:t>
                  </w:r>
                  <w:r>
                    <w:rPr>
                      <w:color w:val="0000FF"/>
                      <w:sz w:val="20"/>
                      <w:szCs w:val="20"/>
                      <w:lang w:val="en-AU"/>
                    </w:rPr>
                    <w:t> 000</w:t>
                  </w:r>
                  <w:r w:rsidRPr="00E331FB">
                    <w:rPr>
                      <w:color w:val="0000FF"/>
                      <w:sz w:val="20"/>
                      <w:szCs w:val="20"/>
                      <w:lang w:val="en-AU"/>
                    </w:rPr>
                    <w:t>, the amount calculated under this step for the employee is nil.</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3.</w:t>
                  </w:r>
                  <w:r w:rsidRPr="00E331FB">
                    <w:rPr>
                      <w:color w:val="0000FF"/>
                      <w:sz w:val="20"/>
                      <w:szCs w:val="20"/>
                      <w:lang w:val="en-AU"/>
                    </w:rPr>
                    <w:tab/>
                    <w:t>If step 2 does not apply in respect of one or more employees of the employer:</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(a)</w:t>
                  </w:r>
                  <w:r w:rsidRPr="00E331FB">
                    <w:rPr>
                      <w:color w:val="0000FF"/>
                      <w:sz w:val="20"/>
                      <w:szCs w:val="20"/>
                      <w:lang w:val="en-AU"/>
                    </w:rPr>
                    <w:tab/>
                    <w:t>reduce the individual grossed</w:t>
                  </w:r>
                  <w:r>
                    <w:rPr>
                      <w:color w:val="0000FF"/>
                      <w:sz w:val="20"/>
                      <w:szCs w:val="20"/>
                      <w:lang w:val="en-AU"/>
                    </w:rPr>
                    <w:noBreakHyphen/>
                  </w:r>
                  <w:r w:rsidRPr="00E331FB">
                    <w:rPr>
                      <w:color w:val="0000FF"/>
                      <w:sz w:val="20"/>
                      <w:szCs w:val="20"/>
                      <w:lang w:val="en-AU"/>
                    </w:rPr>
                    <w:t>up non</w:t>
                  </w:r>
                  <w:r>
                    <w:rPr>
                      <w:color w:val="0000FF"/>
                      <w:sz w:val="20"/>
                      <w:szCs w:val="20"/>
                      <w:lang w:val="en-AU"/>
                    </w:rPr>
                    <w:noBreakHyphen/>
                  </w:r>
                  <w:r w:rsidRPr="00E331FB">
                    <w:rPr>
                      <w:color w:val="0000FF"/>
                      <w:sz w:val="20"/>
                      <w:szCs w:val="20"/>
                      <w:lang w:val="en-AU"/>
                    </w:rPr>
                    <w:t>exempt amount for each such employee for the year of tax beginning on 1 April 2000 to zero; and</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(b)</w:t>
                  </w:r>
                  <w:r w:rsidRPr="00E331FB">
                    <w:rPr>
                      <w:color w:val="0000FF"/>
                      <w:sz w:val="20"/>
                      <w:szCs w:val="20"/>
                      <w:lang w:val="en-AU"/>
                    </w:rPr>
                    <w:tab/>
                    <w:t>reduce the individual grossed</w:t>
                  </w:r>
                  <w:r>
                    <w:rPr>
                      <w:color w:val="0000FF"/>
                      <w:sz w:val="20"/>
                      <w:szCs w:val="20"/>
                      <w:lang w:val="en-AU"/>
                    </w:rPr>
                    <w:noBreakHyphen/>
                  </w:r>
                  <w:r w:rsidRPr="00E331FB">
                    <w:rPr>
                      <w:color w:val="0000FF"/>
                      <w:sz w:val="20"/>
                      <w:szCs w:val="20"/>
                      <w:lang w:val="en-AU"/>
                    </w:rPr>
                    <w:t>up non</w:t>
                  </w:r>
                  <w:r>
                    <w:rPr>
                      <w:color w:val="0000FF"/>
                      <w:sz w:val="20"/>
                      <w:szCs w:val="20"/>
                      <w:lang w:val="en-AU"/>
                    </w:rPr>
                    <w:noBreakHyphen/>
                  </w:r>
                  <w:r w:rsidRPr="00E331FB">
                    <w:rPr>
                      <w:color w:val="0000FF"/>
                      <w:sz w:val="20"/>
                      <w:szCs w:val="20"/>
                      <w:lang w:val="en-AU"/>
                    </w:rPr>
                    <w:t>exempt amount for each such employee for a later year of tax by $30</w:t>
                  </w:r>
                  <w:r>
                    <w:rPr>
                      <w:color w:val="0000FF"/>
                      <w:sz w:val="20"/>
                      <w:szCs w:val="20"/>
                      <w:lang w:val="en-AU"/>
                    </w:rPr>
                    <w:t> 000</w:t>
                  </w:r>
                  <w:r w:rsidRPr="00E331FB">
                    <w:rPr>
                      <w:color w:val="0000FF"/>
                      <w:sz w:val="20"/>
                      <w:szCs w:val="20"/>
                      <w:lang w:val="en-AU"/>
                    </w:rPr>
                    <w:t>, but not below zero.</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lastRenderedPageBreak/>
                    <w:t>Step 4</w:t>
                  </w:r>
                  <w:r w:rsidRPr="00E331FB">
                    <w:rPr>
                      <w:color w:val="0000FF"/>
                      <w:sz w:val="20"/>
                      <w:szCs w:val="20"/>
                      <w:lang w:val="en-AU"/>
                    </w:rPr>
                    <w:t>.</w:t>
                  </w:r>
                  <w:r w:rsidRPr="00E331FB">
                    <w:rPr>
                      <w:color w:val="0000FF"/>
                      <w:sz w:val="20"/>
                      <w:szCs w:val="20"/>
                      <w:lang w:val="en-AU"/>
                    </w:rPr>
                    <w:tab/>
                    <w:t>Add together the amounts calculated under steps 2 and 3 in relation to the employees of the employer. The total amount is the employer’s aggregate non</w:t>
                  </w:r>
                  <w:r>
                    <w:rPr>
                      <w:color w:val="0000FF"/>
                      <w:sz w:val="20"/>
                      <w:szCs w:val="20"/>
                      <w:lang w:val="en-AU"/>
                    </w:rPr>
                    <w:noBreakHyphen/>
                  </w:r>
                  <w:r w:rsidRPr="00E331FB">
                    <w:rPr>
                      <w:color w:val="0000FF"/>
                      <w:sz w:val="20"/>
                      <w:szCs w:val="20"/>
                      <w:lang w:val="en-AU"/>
                    </w:rPr>
                    <w:t>exempt amount for the year of tax.</w:t>
                  </w:r>
                </w:p>
              </w:tc>
            </w:tr>
          </w:tbl>
          <w:p w:rsidR="00EF4EC1" w:rsidRPr="00E331FB" w:rsidRDefault="00EF4EC1" w:rsidP="00EF4EC1">
            <w:pPr>
              <w:pStyle w:val="Slide2"/>
              <w:spacing w:before="240"/>
              <w:ind w:firstLine="0"/>
              <w:rPr>
                <w:i/>
                <w:color w:val="0000FF"/>
              </w:rPr>
            </w:pPr>
            <w:r w:rsidRPr="00E331FB">
              <w:rPr>
                <w:i/>
                <w:color w:val="0000FF"/>
              </w:rPr>
              <w:lastRenderedPageBreak/>
              <w:t>Individual grossed</w:t>
            </w:r>
            <w:r>
              <w:rPr>
                <w:i/>
                <w:color w:val="0000FF"/>
              </w:rPr>
              <w:noBreakHyphen/>
            </w:r>
            <w:r w:rsidRPr="00E331FB">
              <w:rPr>
                <w:i/>
                <w:color w:val="0000FF"/>
              </w:rPr>
              <w:t>up type 1 non</w:t>
            </w:r>
            <w:r>
              <w:rPr>
                <w:i/>
                <w:color w:val="0000FF"/>
              </w:rPr>
              <w:noBreakHyphen/>
            </w:r>
            <w:r w:rsidRPr="00E331FB">
              <w:rPr>
                <w:i/>
                <w:color w:val="0000FF"/>
              </w:rPr>
              <w:t>exempt amount</w:t>
            </w:r>
          </w:p>
          <w:p w:rsidR="00EF4EC1" w:rsidRPr="00E331FB" w:rsidRDefault="00EF4EC1" w:rsidP="00EF4EC1">
            <w:pPr>
              <w:pStyle w:val="Slide2"/>
              <w:rPr>
                <w:color w:val="0000FF"/>
              </w:rPr>
            </w:pPr>
            <w:r w:rsidRPr="00E331FB">
              <w:rPr>
                <w:color w:val="0000FF"/>
              </w:rPr>
              <w:t>(1F)</w:t>
            </w:r>
            <w:r w:rsidRPr="00E331FB">
              <w:rPr>
                <w:color w:val="0000FF"/>
              </w:rPr>
              <w:tab/>
              <w:t xml:space="preserve">For the purposes of step 1 in the method statement in subsection (1E), the </w:t>
            </w:r>
            <w:r w:rsidRPr="00E331FB">
              <w:rPr>
                <w:b/>
                <w:bCs/>
                <w:i/>
                <w:iCs/>
                <w:color w:val="0000FF"/>
              </w:rPr>
              <w:t>individual grossed</w:t>
            </w:r>
            <w:r>
              <w:rPr>
                <w:b/>
                <w:bCs/>
                <w:i/>
                <w:iCs/>
                <w:color w:val="0000FF"/>
              </w:rPr>
              <w:noBreakHyphen/>
            </w:r>
            <w:r w:rsidRPr="00E331FB">
              <w:rPr>
                <w:b/>
                <w:bCs/>
                <w:i/>
                <w:iCs/>
                <w:color w:val="0000FF"/>
              </w:rPr>
              <w:t>up type 1 non</w:t>
            </w:r>
            <w:r>
              <w:rPr>
                <w:b/>
                <w:bCs/>
                <w:i/>
                <w:iCs/>
                <w:color w:val="0000FF"/>
              </w:rPr>
              <w:noBreakHyphen/>
            </w:r>
            <w:r w:rsidRPr="00E331FB">
              <w:rPr>
                <w:b/>
                <w:bCs/>
                <w:i/>
                <w:iCs/>
                <w:color w:val="0000FF"/>
              </w:rPr>
              <w:t xml:space="preserve">exempt amount </w:t>
            </w:r>
            <w:r w:rsidRPr="00E331FB">
              <w:rPr>
                <w:color w:val="0000FF"/>
              </w:rPr>
              <w:t>of an employee in relation to the employer for the year of tax is:</w:t>
            </w:r>
          </w:p>
          <w:p w:rsidR="00EF4EC1" w:rsidRPr="00411026" w:rsidRDefault="00D22D1E" w:rsidP="00EF4EC1">
            <w:pPr>
              <w:pStyle w:val="SlideEquation"/>
              <w:ind w:left="851"/>
              <w:rPr>
                <w:color w:val="0000FF"/>
                <w:sz w:val="20"/>
                <w:szCs w:val="20"/>
                <w:oMath/>
              </w:rPr>
            </w:pPr>
            <m:oMathPara>
              <m:oMathParaPr>
                <m:jc m:val="left"/>
              </m:oMathParaPr>
              <m:oMath>
                <m:d>
                  <m:dPr>
                    <m:ctrlPr>
                      <w:rPr>
                        <w:rFonts w:ascii="Cambria Math" w:hAnsi="Cambria Math"/>
                        <w:snapToGrid/>
                        <w:color w:val="F8F8F8"/>
                        <w:sz w:val="20"/>
                        <w:szCs w:val="20"/>
                      </w:rPr>
                    </m:ctrlPr>
                  </m:dPr>
                  <m:e>
                    <m:eqArr>
                      <m:eqArrPr>
                        <m:ctrlPr>
                          <w:rPr>
                            <w:rFonts w:ascii="Cambria Math" w:hAnsi="Cambria Math"/>
                            <w:i/>
                            <w:color w:val="0000FF"/>
                            <w:sz w:val="20"/>
                            <w:szCs w:val="20"/>
                          </w:rPr>
                        </m:ctrlPr>
                      </m:eqArrPr>
                      <m:e>
                        <m:r>
                          <m:rPr>
                            <m:nor/>
                          </m:rPr>
                          <w:rPr>
                            <w:color w:val="0000FF"/>
                            <w:sz w:val="20"/>
                            <w:szCs w:val="20"/>
                          </w:rPr>
                          <m:t>Type 1 individual</m:t>
                        </m:r>
                      </m:e>
                      <m:e>
                        <m:r>
                          <m:rPr>
                            <m:nor/>
                          </m:rPr>
                          <w:rPr>
                            <w:color w:val="0000FF"/>
                            <w:sz w:val="20"/>
                            <w:szCs w:val="20"/>
                          </w:rPr>
                          <m:t xml:space="preserve">base </m:t>
                        </m:r>
                        <m:ctrlPr>
                          <w:rPr>
                            <w:rFonts w:ascii="Cambria Math" w:eastAsia="Cambria Math" w:hAnsi="Cambria Math"/>
                            <w:i/>
                            <w:color w:val="0000FF"/>
                            <w:sz w:val="20"/>
                            <w:szCs w:val="20"/>
                          </w:rPr>
                        </m:ctrlPr>
                      </m:e>
                      <m:e>
                        <m:r>
                          <m:rPr>
                            <m:nor/>
                          </m:rPr>
                          <w:rPr>
                            <w:color w:val="0000FF"/>
                            <w:sz w:val="20"/>
                            <w:szCs w:val="20"/>
                          </w:rPr>
                          <m:t xml:space="preserve">non-exempt </m:t>
                        </m:r>
                        <m:ctrlPr>
                          <w:rPr>
                            <w:rFonts w:ascii="Cambria Math" w:eastAsia="Cambria Math" w:hAnsi="Cambria Math"/>
                            <w:i/>
                            <w:color w:val="0000FF"/>
                            <w:sz w:val="20"/>
                            <w:szCs w:val="20"/>
                          </w:rPr>
                        </m:ctrlPr>
                      </m:e>
                      <m:e>
                        <m:r>
                          <m:rPr>
                            <m:nor/>
                          </m:rPr>
                          <w:rPr>
                            <w:color w:val="0000FF"/>
                            <w:sz w:val="20"/>
                            <w:szCs w:val="20"/>
                          </w:rPr>
                          <m:t xml:space="preserve">amount </m:t>
                        </m:r>
                      </m:e>
                    </m:eqArr>
                  </m:e>
                </m:d>
                <m:r>
                  <m:rPr>
                    <m:nor/>
                  </m:rPr>
                  <w:rPr>
                    <w:color w:val="0000FF"/>
                    <w:sz w:val="20"/>
                    <w:szCs w:val="20"/>
                  </w:rPr>
                  <m:t xml:space="preserve">× </m:t>
                </m:r>
                <m:f>
                  <m:fPr>
                    <m:ctrlPr>
                      <w:rPr>
                        <w:rFonts w:ascii="Cambria Math" w:hAnsi="Cambria Math"/>
                        <w:i/>
                        <w:snapToGrid/>
                        <w:color w:val="0000FF"/>
                        <w:sz w:val="20"/>
                        <w:szCs w:val="20"/>
                      </w:rPr>
                    </m:ctrlPr>
                  </m:fPr>
                  <m:num>
                    <m:r>
                      <m:rPr>
                        <m:nor/>
                      </m:rPr>
                      <w:rPr>
                        <w:color w:val="0000FF"/>
                        <w:sz w:val="20"/>
                        <w:szCs w:val="20"/>
                      </w:rPr>
                      <m:t>FBT rate + GST rate</m:t>
                    </m:r>
                  </m:num>
                  <m:den>
                    <m:d>
                      <m:dPr>
                        <m:ctrlPr>
                          <w:rPr>
                            <w:rFonts w:ascii="Cambria Math" w:hAnsi="Cambria Math"/>
                            <w:i/>
                            <w:snapToGrid/>
                            <w:color w:val="0000FF"/>
                            <w:sz w:val="20"/>
                            <w:szCs w:val="20"/>
                          </w:rPr>
                        </m:ctrlPr>
                      </m:dPr>
                      <m:e>
                        <m:r>
                          <m:rPr>
                            <m:nor/>
                          </m:rPr>
                          <w:rPr>
                            <w:color w:val="0000FF"/>
                            <w:sz w:val="20"/>
                            <w:szCs w:val="20"/>
                          </w:rPr>
                          <m:t>1</m:t>
                        </m:r>
                        <m:r>
                          <m:rPr>
                            <m:sty m:val="p"/>
                          </m:rPr>
                          <w:rPr>
                            <w:rFonts w:ascii="Cambria Math" w:hAnsi="Cambria Math"/>
                            <w:color w:val="0000FF"/>
                            <w:sz w:val="20"/>
                            <w:szCs w:val="20"/>
                          </w:rPr>
                          <m:t>-</m:t>
                        </m:r>
                        <m:r>
                          <m:rPr>
                            <m:nor/>
                          </m:rPr>
                          <w:rPr>
                            <w:color w:val="0000FF"/>
                            <w:sz w:val="20"/>
                            <w:szCs w:val="20"/>
                          </w:rPr>
                          <m:t xml:space="preserve"> FBT rate</m:t>
                        </m:r>
                      </m:e>
                    </m:d>
                    <m:r>
                      <m:rPr>
                        <m:nor/>
                      </m:rPr>
                      <w:rPr>
                        <w:color w:val="0000FF"/>
                        <w:sz w:val="20"/>
                        <w:szCs w:val="20"/>
                      </w:rPr>
                      <m:t xml:space="preserve"> × </m:t>
                    </m:r>
                    <m:d>
                      <m:dPr>
                        <m:ctrlPr>
                          <w:rPr>
                            <w:rFonts w:ascii="Cambria Math" w:hAnsi="Cambria Math"/>
                            <w:i/>
                            <w:snapToGrid/>
                            <w:color w:val="0000FF"/>
                            <w:sz w:val="20"/>
                            <w:szCs w:val="20"/>
                          </w:rPr>
                        </m:ctrlPr>
                      </m:dPr>
                      <m:e>
                        <m:r>
                          <m:rPr>
                            <m:nor/>
                          </m:rPr>
                          <w:rPr>
                            <w:color w:val="0000FF"/>
                            <w:sz w:val="20"/>
                            <w:szCs w:val="20"/>
                          </w:rPr>
                          <m:t>1 + GST rate</m:t>
                        </m:r>
                      </m:e>
                    </m:d>
                    <m:r>
                      <m:rPr>
                        <m:nor/>
                      </m:rPr>
                      <w:rPr>
                        <w:color w:val="0000FF"/>
                        <w:sz w:val="20"/>
                        <w:szCs w:val="20"/>
                      </w:rPr>
                      <m:t xml:space="preserve"> × FBT rate </m:t>
                    </m:r>
                  </m:den>
                </m:f>
              </m:oMath>
            </m:oMathPara>
          </w:p>
          <w:p w:rsidR="00EF4EC1" w:rsidRPr="00E331FB" w:rsidRDefault="00EF4EC1" w:rsidP="00EF4EC1">
            <w:pPr>
              <w:pStyle w:val="Slide2"/>
              <w:spacing w:before="240"/>
              <w:ind w:firstLine="0"/>
              <w:rPr>
                <w:i/>
                <w:color w:val="0000FF"/>
              </w:rPr>
            </w:pPr>
            <w:r w:rsidRPr="00E331FB">
              <w:rPr>
                <w:i/>
                <w:color w:val="0000FF"/>
              </w:rPr>
              <w:t>Individual grossed</w:t>
            </w:r>
            <w:r>
              <w:rPr>
                <w:i/>
                <w:color w:val="0000FF"/>
              </w:rPr>
              <w:noBreakHyphen/>
            </w:r>
            <w:r w:rsidRPr="00E331FB">
              <w:rPr>
                <w:i/>
                <w:color w:val="0000FF"/>
              </w:rPr>
              <w:t>up type 2 non</w:t>
            </w:r>
            <w:r>
              <w:rPr>
                <w:i/>
                <w:color w:val="0000FF"/>
              </w:rPr>
              <w:noBreakHyphen/>
            </w:r>
            <w:r w:rsidRPr="00E331FB">
              <w:rPr>
                <w:i/>
                <w:color w:val="0000FF"/>
              </w:rPr>
              <w:t>exempt amount</w:t>
            </w:r>
          </w:p>
          <w:p w:rsidR="00EF4EC1" w:rsidRPr="00E331FB" w:rsidRDefault="00EF4EC1" w:rsidP="00EF4EC1">
            <w:pPr>
              <w:pStyle w:val="Slide2"/>
              <w:rPr>
                <w:color w:val="0000FF"/>
              </w:rPr>
            </w:pPr>
            <w:r w:rsidRPr="00E331FB">
              <w:rPr>
                <w:color w:val="0000FF"/>
              </w:rPr>
              <w:t>(1G)</w:t>
            </w:r>
            <w:r w:rsidRPr="00E331FB">
              <w:rPr>
                <w:color w:val="0000FF"/>
              </w:rPr>
              <w:tab/>
              <w:t xml:space="preserve">For the purposes of step 1 in the method statement in subsection (1E), the </w:t>
            </w:r>
            <w:r w:rsidRPr="00E331FB">
              <w:rPr>
                <w:b/>
                <w:bCs/>
                <w:i/>
                <w:iCs/>
                <w:color w:val="0000FF"/>
              </w:rPr>
              <w:t>individual grossed</w:t>
            </w:r>
            <w:r>
              <w:rPr>
                <w:b/>
                <w:bCs/>
                <w:i/>
                <w:iCs/>
                <w:color w:val="0000FF"/>
              </w:rPr>
              <w:noBreakHyphen/>
            </w:r>
            <w:r w:rsidRPr="00E331FB">
              <w:rPr>
                <w:b/>
                <w:bCs/>
                <w:i/>
                <w:iCs/>
                <w:color w:val="0000FF"/>
              </w:rPr>
              <w:t>up type 2 non</w:t>
            </w:r>
            <w:r>
              <w:rPr>
                <w:b/>
                <w:bCs/>
                <w:i/>
                <w:iCs/>
                <w:color w:val="0000FF"/>
              </w:rPr>
              <w:noBreakHyphen/>
            </w:r>
            <w:r w:rsidRPr="00E331FB">
              <w:rPr>
                <w:b/>
                <w:bCs/>
                <w:i/>
                <w:iCs/>
                <w:color w:val="0000FF"/>
              </w:rPr>
              <w:t>exempt amount</w:t>
            </w:r>
            <w:r w:rsidRPr="00E331FB">
              <w:rPr>
                <w:color w:val="0000FF"/>
              </w:rPr>
              <w:t xml:space="preserve"> of an employee in relation to the employer for the year of tax is:</w:t>
            </w:r>
          </w:p>
          <w:p w:rsidR="00EF4EC1" w:rsidRPr="00E3490E" w:rsidRDefault="00D22D1E" w:rsidP="00EF4EC1">
            <w:pPr>
              <w:pStyle w:val="SlideEquation"/>
              <w:ind w:left="851"/>
              <w:rPr>
                <w:color w:val="0000FF"/>
                <w:sz w:val="20"/>
                <w:szCs w:val="20"/>
                <w:oMath/>
              </w:rPr>
            </w:pPr>
            <m:oMathPara>
              <m:oMathParaPr>
                <m:jc m:val="left"/>
              </m:oMathParaPr>
              <m:oMath>
                <m:d>
                  <m:dPr>
                    <m:ctrlPr>
                      <w:rPr>
                        <w:rFonts w:ascii="Cambria Math" w:hAnsi="Cambria Math"/>
                        <w:snapToGrid/>
                        <w:color w:val="F8F8F8"/>
                        <w:sz w:val="20"/>
                        <w:szCs w:val="20"/>
                      </w:rPr>
                    </m:ctrlPr>
                  </m:dPr>
                  <m:e>
                    <m:eqArr>
                      <m:eqArrPr>
                        <m:ctrlPr>
                          <w:rPr>
                            <w:rFonts w:ascii="Cambria Math" w:hAnsi="Cambria Math"/>
                            <w:i/>
                            <w:color w:val="0000FF"/>
                            <w:sz w:val="20"/>
                            <w:szCs w:val="20"/>
                          </w:rPr>
                        </m:ctrlPr>
                      </m:eqArrPr>
                      <m:e>
                        <m:r>
                          <m:rPr>
                            <m:nor/>
                          </m:rPr>
                          <w:rPr>
                            <w:color w:val="0000FF"/>
                            <w:sz w:val="20"/>
                            <w:szCs w:val="20"/>
                          </w:rPr>
                          <m:t>Type 2 individual</m:t>
                        </m:r>
                      </m:e>
                      <m:e>
                        <m:r>
                          <m:rPr>
                            <m:nor/>
                          </m:rPr>
                          <w:rPr>
                            <w:color w:val="0000FF"/>
                            <w:sz w:val="20"/>
                            <w:szCs w:val="20"/>
                          </w:rPr>
                          <m:t xml:space="preserve">base </m:t>
                        </m:r>
                        <m:ctrlPr>
                          <w:rPr>
                            <w:rFonts w:ascii="Cambria Math" w:eastAsia="Cambria Math" w:hAnsi="Cambria Math"/>
                            <w:i/>
                            <w:color w:val="0000FF"/>
                            <w:sz w:val="20"/>
                            <w:szCs w:val="20"/>
                          </w:rPr>
                        </m:ctrlPr>
                      </m:e>
                      <m:e>
                        <m:r>
                          <m:rPr>
                            <m:nor/>
                          </m:rPr>
                          <w:rPr>
                            <w:color w:val="0000FF"/>
                            <w:sz w:val="20"/>
                            <w:szCs w:val="20"/>
                          </w:rPr>
                          <m:t xml:space="preserve">non-exempt </m:t>
                        </m:r>
                        <m:ctrlPr>
                          <w:rPr>
                            <w:rFonts w:ascii="Cambria Math" w:eastAsia="Cambria Math" w:hAnsi="Cambria Math"/>
                            <w:i/>
                            <w:color w:val="0000FF"/>
                            <w:sz w:val="20"/>
                            <w:szCs w:val="20"/>
                          </w:rPr>
                        </m:ctrlPr>
                      </m:e>
                      <m:e>
                        <m:r>
                          <m:rPr>
                            <m:nor/>
                          </m:rPr>
                          <w:rPr>
                            <w:color w:val="0000FF"/>
                            <w:sz w:val="20"/>
                            <w:szCs w:val="20"/>
                          </w:rPr>
                          <m:t xml:space="preserve">amount </m:t>
                        </m:r>
                      </m:e>
                    </m:eqArr>
                  </m:e>
                </m:d>
                <m:r>
                  <m:rPr>
                    <m:nor/>
                  </m:rPr>
                  <w:rPr>
                    <w:color w:val="0000FF"/>
                    <w:sz w:val="20"/>
                    <w:szCs w:val="20"/>
                  </w:rPr>
                  <m:t xml:space="preserve">× </m:t>
                </m:r>
                <m:f>
                  <m:fPr>
                    <m:ctrlPr>
                      <w:rPr>
                        <w:rFonts w:ascii="Cambria Math" w:hAnsi="Cambria Math"/>
                        <w:i/>
                        <w:snapToGrid/>
                        <w:color w:val="0000FF"/>
                        <w:sz w:val="20"/>
                        <w:szCs w:val="20"/>
                      </w:rPr>
                    </m:ctrlPr>
                  </m:fPr>
                  <m:num>
                    <m:r>
                      <m:rPr>
                        <m:nor/>
                      </m:rPr>
                      <w:rPr>
                        <w:color w:val="0000FF"/>
                        <w:sz w:val="20"/>
                        <w:szCs w:val="20"/>
                      </w:rPr>
                      <m:t>1</m:t>
                    </m:r>
                  </m:num>
                  <m:den>
                    <m:d>
                      <m:dPr>
                        <m:ctrlPr>
                          <w:rPr>
                            <w:rFonts w:ascii="Cambria Math" w:hAnsi="Cambria Math"/>
                            <w:i/>
                            <w:snapToGrid/>
                            <w:color w:val="0000FF"/>
                            <w:sz w:val="20"/>
                            <w:szCs w:val="20"/>
                          </w:rPr>
                        </m:ctrlPr>
                      </m:dPr>
                      <m:e>
                        <m:r>
                          <m:rPr>
                            <m:nor/>
                          </m:rPr>
                          <w:rPr>
                            <w:color w:val="0000FF"/>
                            <w:sz w:val="20"/>
                            <w:szCs w:val="20"/>
                          </w:rPr>
                          <m:t>1</m:t>
                        </m:r>
                        <m:r>
                          <m:rPr>
                            <m:sty m:val="p"/>
                          </m:rPr>
                          <w:rPr>
                            <w:rFonts w:ascii="Cambria Math" w:hAnsi="Cambria Math"/>
                            <w:color w:val="0000FF"/>
                            <w:sz w:val="20"/>
                            <w:szCs w:val="20"/>
                          </w:rPr>
                          <m:t>-</m:t>
                        </m:r>
                        <m:r>
                          <m:rPr>
                            <m:nor/>
                          </m:rPr>
                          <w:rPr>
                            <w:color w:val="0000FF"/>
                            <w:sz w:val="20"/>
                            <w:szCs w:val="20"/>
                          </w:rPr>
                          <m:t xml:space="preserve"> FBT rate</m:t>
                        </m:r>
                      </m:e>
                    </m:d>
                    <m:r>
                      <m:rPr>
                        <m:nor/>
                      </m:rPr>
                      <w:rPr>
                        <w:color w:val="0000FF"/>
                        <w:sz w:val="20"/>
                        <w:szCs w:val="20"/>
                      </w:rPr>
                      <m:t xml:space="preserve"> </m:t>
                    </m:r>
                  </m:den>
                </m:f>
              </m:oMath>
            </m:oMathPara>
          </w:p>
          <w:p w:rsidR="00EF4EC1" w:rsidRPr="00E331FB" w:rsidRDefault="00EF4EC1" w:rsidP="00EF4EC1">
            <w:pPr>
              <w:pStyle w:val="Slide2"/>
              <w:spacing w:before="240"/>
              <w:ind w:firstLine="0"/>
              <w:rPr>
                <w:i/>
                <w:color w:val="0000FF"/>
              </w:rPr>
            </w:pPr>
            <w:r w:rsidRPr="00E331FB">
              <w:rPr>
                <w:i/>
                <w:color w:val="0000FF"/>
              </w:rPr>
              <w:t>Working out the type 1 individual base non</w:t>
            </w:r>
            <w:r>
              <w:rPr>
                <w:i/>
                <w:color w:val="0000FF"/>
              </w:rPr>
              <w:noBreakHyphen/>
            </w:r>
            <w:r w:rsidRPr="00E331FB">
              <w:rPr>
                <w:i/>
                <w:color w:val="0000FF"/>
              </w:rPr>
              <w:t>exempt amount</w:t>
            </w:r>
          </w:p>
          <w:p w:rsidR="00EF4EC1" w:rsidRPr="00E331FB" w:rsidRDefault="00EF4EC1" w:rsidP="00EF4EC1">
            <w:pPr>
              <w:pStyle w:val="Slide2"/>
              <w:rPr>
                <w:color w:val="0000FF"/>
              </w:rPr>
            </w:pPr>
            <w:r w:rsidRPr="00E331FB">
              <w:rPr>
                <w:color w:val="0000FF"/>
              </w:rPr>
              <w:t>(1H)</w:t>
            </w:r>
            <w:r w:rsidRPr="00E331FB">
              <w:rPr>
                <w:color w:val="0000FF"/>
              </w:rPr>
              <w:tab/>
              <w:t xml:space="preserve">An employee’s </w:t>
            </w:r>
            <w:r w:rsidRPr="00E331FB">
              <w:rPr>
                <w:b/>
                <w:bCs/>
                <w:i/>
                <w:iCs/>
                <w:color w:val="0000FF"/>
              </w:rPr>
              <w:t>type 1 individual base non</w:t>
            </w:r>
            <w:r>
              <w:rPr>
                <w:b/>
                <w:bCs/>
                <w:i/>
                <w:iCs/>
                <w:color w:val="0000FF"/>
              </w:rPr>
              <w:noBreakHyphen/>
            </w:r>
            <w:r w:rsidRPr="00E331FB">
              <w:rPr>
                <w:b/>
                <w:bCs/>
                <w:i/>
                <w:iCs/>
                <w:color w:val="0000FF"/>
              </w:rPr>
              <w:t xml:space="preserve">exempt amount </w:t>
            </w:r>
            <w:r w:rsidRPr="00E331FB">
              <w:rPr>
                <w:color w:val="0000FF"/>
              </w:rPr>
              <w:t>in relation to the employer for the year of tax is worked out by adding the amounts worked out under step 3 of the method statement in subsection (1K) and step 3 of the method statement in subsection (1L).</w:t>
            </w:r>
          </w:p>
          <w:p w:rsidR="00EF4EC1" w:rsidRPr="00E331FB" w:rsidRDefault="00EF4EC1" w:rsidP="00EF4EC1">
            <w:pPr>
              <w:pStyle w:val="Slide2"/>
              <w:spacing w:before="240"/>
              <w:ind w:firstLine="0"/>
              <w:rPr>
                <w:i/>
                <w:color w:val="0000FF"/>
              </w:rPr>
            </w:pPr>
            <w:r w:rsidRPr="00E331FB">
              <w:rPr>
                <w:i/>
                <w:color w:val="0000FF"/>
              </w:rPr>
              <w:t>Working out the type 2 individual base non</w:t>
            </w:r>
            <w:r>
              <w:rPr>
                <w:i/>
                <w:color w:val="0000FF"/>
              </w:rPr>
              <w:noBreakHyphen/>
            </w:r>
            <w:r w:rsidRPr="00E331FB">
              <w:rPr>
                <w:i/>
                <w:color w:val="0000FF"/>
              </w:rPr>
              <w:t>exempt amount</w:t>
            </w:r>
          </w:p>
          <w:p w:rsidR="00EF4EC1" w:rsidRPr="00E331FB" w:rsidRDefault="00EF4EC1" w:rsidP="00EF4EC1">
            <w:pPr>
              <w:pStyle w:val="Slide2"/>
              <w:rPr>
                <w:color w:val="0000FF"/>
              </w:rPr>
            </w:pPr>
            <w:r w:rsidRPr="00E331FB">
              <w:rPr>
                <w:color w:val="0000FF"/>
              </w:rPr>
              <w:t>(1J)</w:t>
            </w:r>
            <w:r w:rsidRPr="00E331FB">
              <w:rPr>
                <w:color w:val="0000FF"/>
              </w:rPr>
              <w:tab/>
              <w:t xml:space="preserve">An employee’s </w:t>
            </w:r>
            <w:r w:rsidRPr="00E331FB">
              <w:rPr>
                <w:b/>
                <w:bCs/>
                <w:i/>
                <w:iCs/>
                <w:color w:val="0000FF"/>
              </w:rPr>
              <w:t>type 2 individual base non</w:t>
            </w:r>
            <w:r>
              <w:rPr>
                <w:b/>
                <w:bCs/>
                <w:i/>
                <w:iCs/>
                <w:color w:val="0000FF"/>
              </w:rPr>
              <w:noBreakHyphen/>
            </w:r>
            <w:r w:rsidRPr="00E331FB">
              <w:rPr>
                <w:b/>
                <w:bCs/>
                <w:i/>
                <w:iCs/>
                <w:color w:val="0000FF"/>
              </w:rPr>
              <w:t xml:space="preserve">exempt amount </w:t>
            </w:r>
            <w:r w:rsidRPr="00E331FB">
              <w:rPr>
                <w:color w:val="0000FF"/>
              </w:rPr>
              <w:t>in relation to the employer for the year of tax is worked out by adding the amounts worked out under step 4 of the method statement in subsection (1K) and step 4 of the method statement in subsection (1L).</w:t>
            </w:r>
          </w:p>
          <w:p w:rsidR="00EF4EC1" w:rsidRPr="00E331FB" w:rsidRDefault="00EF4EC1" w:rsidP="00EF4EC1">
            <w:pPr>
              <w:pStyle w:val="Slide2"/>
              <w:spacing w:before="240"/>
              <w:ind w:firstLine="0"/>
              <w:rPr>
                <w:i/>
                <w:color w:val="0000FF"/>
              </w:rPr>
            </w:pPr>
            <w:r w:rsidRPr="00E331FB">
              <w:rPr>
                <w:i/>
                <w:color w:val="0000FF"/>
              </w:rPr>
              <w:t>Working out the subsection (1K) amounts</w:t>
            </w:r>
          </w:p>
          <w:p w:rsidR="00EF4EC1" w:rsidRPr="00E331FB" w:rsidRDefault="00EF4EC1" w:rsidP="00EF4EC1">
            <w:pPr>
              <w:pStyle w:val="Slide2"/>
              <w:rPr>
                <w:color w:val="0000FF"/>
              </w:rPr>
            </w:pPr>
            <w:r w:rsidRPr="00E331FB">
              <w:rPr>
                <w:color w:val="0000FF"/>
              </w:rPr>
              <w:t>(1K)</w:t>
            </w:r>
            <w:r w:rsidRPr="00E331FB">
              <w:rPr>
                <w:color w:val="0000FF"/>
              </w:rPr>
              <w:tab/>
              <w:t xml:space="preserve">An employee’s </w:t>
            </w:r>
            <w:r w:rsidRPr="00E331FB">
              <w:rPr>
                <w:b/>
                <w:bCs/>
                <w:i/>
                <w:iCs/>
                <w:color w:val="0000FF"/>
              </w:rPr>
              <w:t xml:space="preserve">subsection (1K) amounts </w:t>
            </w:r>
            <w:r w:rsidRPr="00E331FB">
              <w:rPr>
                <w:color w:val="0000FF"/>
              </w:rPr>
              <w:t>for the year of tax are worked out as follows.</w:t>
            </w:r>
          </w:p>
          <w:tbl>
            <w:tblPr>
              <w:tblStyle w:val="TableGrid"/>
              <w:tblW w:w="7654" w:type="dxa"/>
              <w:tblInd w:w="567" w:type="dxa"/>
              <w:tblLayout w:type="fixed"/>
              <w:tblLook w:val="04A0" w:firstRow="1" w:lastRow="0" w:firstColumn="1" w:lastColumn="0" w:noHBand="0" w:noVBand="1"/>
            </w:tblPr>
            <w:tblGrid>
              <w:gridCol w:w="7654"/>
            </w:tblGrid>
            <w:tr w:rsidR="00EF4EC1" w:rsidRPr="00E331FB" w:rsidTr="00EF4EC1">
              <w:trPr>
                <w:cantSplit/>
              </w:trPr>
              <w:tc>
                <w:tcPr>
                  <w:tcW w:w="7654" w:type="dxa"/>
                </w:tcPr>
                <w:p w:rsidR="00EF4EC1" w:rsidRPr="00E331FB" w:rsidRDefault="00EF4EC1" w:rsidP="00EF4EC1">
                  <w:pPr>
                    <w:pStyle w:val="Slide2"/>
                    <w:rPr>
                      <w:i/>
                      <w:color w:val="0000FF"/>
                      <w:sz w:val="20"/>
                      <w:szCs w:val="20"/>
                      <w:lang w:val="en-AU"/>
                    </w:rPr>
                  </w:pPr>
                  <w:r w:rsidRPr="00E331FB">
                    <w:rPr>
                      <w:i/>
                      <w:color w:val="0000FF"/>
                      <w:sz w:val="20"/>
                      <w:szCs w:val="20"/>
                      <w:lang w:val="en-AU"/>
                    </w:rPr>
                    <w:lastRenderedPageBreak/>
                    <w:t>Method statement</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1</w:t>
                  </w:r>
                  <w:r w:rsidRPr="00E331FB">
                    <w:rPr>
                      <w:color w:val="0000FF"/>
                      <w:sz w:val="20"/>
                      <w:szCs w:val="20"/>
                      <w:lang w:val="en-AU"/>
                    </w:rPr>
                    <w:t>.</w:t>
                  </w:r>
                  <w:r w:rsidRPr="00E331FB">
                    <w:rPr>
                      <w:color w:val="0000FF"/>
                      <w:sz w:val="20"/>
                      <w:szCs w:val="20"/>
                      <w:lang w:val="en-AU"/>
                    </w:rPr>
                    <w:tab/>
                    <w:t>Work out under subsection 135Q(3) for each of the employer’s employees the amount that would be the employee’s individual fringe benefit amount for the year of tax in respect of the employee’s employment by the employer if subsection 135Q(1) were amended:</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(a)</w:t>
                  </w:r>
                  <w:r w:rsidRPr="00E331FB">
                    <w:rPr>
                      <w:color w:val="0000FF"/>
                      <w:sz w:val="20"/>
                      <w:szCs w:val="20"/>
                      <w:lang w:val="en-AU"/>
                    </w:rPr>
                    <w:tab/>
                    <w:t>by omitting “or 58”; and</w:t>
                  </w:r>
                </w:p>
                <w:p w:rsidR="00EF4EC1" w:rsidRPr="00E331FB" w:rsidRDefault="00EF4EC1" w:rsidP="00EF4EC1">
                  <w:pPr>
                    <w:pStyle w:val="Slide2"/>
                    <w:ind w:left="1163" w:hanging="454"/>
                    <w:rPr>
                      <w:color w:val="0000FF"/>
                      <w:sz w:val="20"/>
                      <w:szCs w:val="20"/>
                      <w:lang w:val="en-AU"/>
                    </w:rPr>
                  </w:pPr>
                  <w:r w:rsidRPr="00E331FB">
                    <w:rPr>
                      <w:color w:val="0000FF"/>
                      <w:sz w:val="20"/>
                      <w:szCs w:val="20"/>
                      <w:lang w:val="en-AU"/>
                    </w:rPr>
                    <w:t>(b)</w:t>
                  </w:r>
                  <w:r w:rsidRPr="00E331FB">
                    <w:rPr>
                      <w:color w:val="0000FF"/>
                      <w:sz w:val="20"/>
                      <w:szCs w:val="20"/>
                      <w:lang w:val="en-AU"/>
                    </w:rPr>
                    <w:tab/>
                    <w:t>by omitting “one of those sections” from paragraph (b) and “those sections” from paragraph (c) and substituting in each case “that section”.</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2</w:t>
                  </w:r>
                  <w:r w:rsidRPr="00E331FB">
                    <w:rPr>
                      <w:color w:val="0000FF"/>
                      <w:sz w:val="20"/>
                      <w:szCs w:val="20"/>
                      <w:lang w:val="en-AU"/>
                    </w:rPr>
                    <w:t>.</w:t>
                  </w:r>
                  <w:r w:rsidRPr="00E331FB">
                    <w:rPr>
                      <w:color w:val="0000FF"/>
                      <w:sz w:val="20"/>
                      <w:szCs w:val="20"/>
                      <w:lang w:val="en-AU"/>
                    </w:rPr>
                    <w:tab/>
                    <w:t>Identify the benefits taken into account in step 1 that are GST</w:t>
                  </w:r>
                  <w:r>
                    <w:rPr>
                      <w:color w:val="0000FF"/>
                      <w:sz w:val="20"/>
                      <w:szCs w:val="20"/>
                      <w:lang w:val="en-AU"/>
                    </w:rPr>
                    <w:noBreakHyphen/>
                  </w:r>
                  <w:r w:rsidRPr="00E331FB">
                    <w:rPr>
                      <w:color w:val="0000FF"/>
                      <w:sz w:val="20"/>
                      <w:szCs w:val="20"/>
                      <w:lang w:val="en-AU"/>
                    </w:rPr>
                    <w:t>creditable benefits (see section 149A).</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3</w:t>
                  </w:r>
                  <w:r w:rsidRPr="00E331FB">
                    <w:rPr>
                      <w:color w:val="0000FF"/>
                      <w:sz w:val="20"/>
                      <w:szCs w:val="20"/>
                      <w:lang w:val="en-AU"/>
                    </w:rPr>
                    <w:t>.</w:t>
                  </w:r>
                  <w:r w:rsidRPr="00E331FB">
                    <w:rPr>
                      <w:color w:val="0000FF"/>
                      <w:sz w:val="20"/>
                      <w:szCs w:val="20"/>
                      <w:lang w:val="en-AU"/>
                    </w:rPr>
                    <w:tab/>
                    <w:t xml:space="preserve">So much of the amount worked out under step 1 that relates to the benefits identified under step 2 is the </w:t>
                  </w:r>
                  <w:r w:rsidRPr="00E331FB">
                    <w:rPr>
                      <w:b/>
                      <w:color w:val="0000FF"/>
                      <w:sz w:val="20"/>
                      <w:szCs w:val="20"/>
                      <w:lang w:val="en-AU"/>
                    </w:rPr>
                    <w:t>step 3 of subsection (1K) amount</w:t>
                  </w:r>
                  <w:r w:rsidRPr="00E331FB">
                    <w:rPr>
                      <w:color w:val="0000FF"/>
                      <w:sz w:val="20"/>
                      <w:szCs w:val="20"/>
                      <w:lang w:val="en-AU"/>
                    </w:rPr>
                    <w:t xml:space="preserve"> for the individual.</w:t>
                  </w:r>
                </w:p>
                <w:p w:rsidR="00EF4EC1" w:rsidRPr="00E331FB" w:rsidRDefault="00EF4EC1" w:rsidP="00EF4EC1">
                  <w:pPr>
                    <w:pStyle w:val="Slide2"/>
                    <w:ind w:left="737" w:hanging="737"/>
                    <w:rPr>
                      <w:color w:val="0000FF"/>
                      <w:lang w:val="en-AU"/>
                    </w:rPr>
                  </w:pPr>
                  <w:r w:rsidRPr="00E331FB">
                    <w:rPr>
                      <w:i/>
                      <w:color w:val="0000FF"/>
                      <w:sz w:val="20"/>
                      <w:szCs w:val="20"/>
                      <w:lang w:val="en-AU"/>
                    </w:rPr>
                    <w:t>Step 4</w:t>
                  </w:r>
                  <w:r w:rsidRPr="00E331FB">
                    <w:rPr>
                      <w:color w:val="0000FF"/>
                      <w:sz w:val="20"/>
                      <w:szCs w:val="20"/>
                      <w:lang w:val="en-AU"/>
                    </w:rPr>
                    <w:t>.</w:t>
                  </w:r>
                  <w:r w:rsidRPr="00E331FB">
                    <w:rPr>
                      <w:color w:val="0000FF"/>
                      <w:sz w:val="20"/>
                      <w:szCs w:val="20"/>
                      <w:lang w:val="en-AU"/>
                    </w:rPr>
                    <w:tab/>
                    <w:t xml:space="preserve">The remainder of the amount is the </w:t>
                  </w:r>
                  <w:r w:rsidRPr="00E331FB">
                    <w:rPr>
                      <w:b/>
                      <w:color w:val="0000FF"/>
                      <w:sz w:val="20"/>
                      <w:szCs w:val="20"/>
                      <w:lang w:val="en-AU"/>
                    </w:rPr>
                    <w:t>step 4 of subsection (1K) amount</w:t>
                  </w:r>
                  <w:r w:rsidRPr="00E331FB">
                    <w:rPr>
                      <w:color w:val="0000FF"/>
                      <w:sz w:val="20"/>
                      <w:szCs w:val="20"/>
                      <w:lang w:val="en-AU"/>
                    </w:rPr>
                    <w:t xml:space="preserve"> for the individual.</w:t>
                  </w:r>
                </w:p>
              </w:tc>
            </w:tr>
          </w:tbl>
          <w:p w:rsidR="00EF4EC1" w:rsidRPr="00E331FB" w:rsidRDefault="00EF4EC1" w:rsidP="00EF4EC1">
            <w:pPr>
              <w:pStyle w:val="Slide2"/>
              <w:spacing w:before="240"/>
              <w:ind w:firstLine="0"/>
              <w:rPr>
                <w:i/>
                <w:color w:val="0000FF"/>
              </w:rPr>
            </w:pPr>
            <w:r w:rsidRPr="00E331FB">
              <w:rPr>
                <w:i/>
                <w:color w:val="0000FF"/>
              </w:rPr>
              <w:t>Working out the subsection (1L) amounts</w:t>
            </w:r>
          </w:p>
          <w:p w:rsidR="00EF4EC1" w:rsidRPr="00E331FB" w:rsidRDefault="00EF4EC1" w:rsidP="00EF4EC1">
            <w:pPr>
              <w:pStyle w:val="Slide2"/>
              <w:rPr>
                <w:color w:val="0000FF"/>
              </w:rPr>
            </w:pPr>
            <w:r w:rsidRPr="00E331FB">
              <w:rPr>
                <w:color w:val="0000FF"/>
              </w:rPr>
              <w:t>(1L)</w:t>
            </w:r>
            <w:r w:rsidRPr="00E331FB">
              <w:rPr>
                <w:color w:val="0000FF"/>
              </w:rPr>
              <w:tab/>
              <w:t xml:space="preserve">An employee’s </w:t>
            </w:r>
            <w:r w:rsidRPr="00E331FB">
              <w:rPr>
                <w:b/>
                <w:bCs/>
                <w:i/>
                <w:iCs/>
                <w:color w:val="0000FF"/>
              </w:rPr>
              <w:t xml:space="preserve">subsection (1L) amounts </w:t>
            </w:r>
            <w:r w:rsidRPr="00E331FB">
              <w:rPr>
                <w:color w:val="0000FF"/>
              </w:rPr>
              <w:t>for the year of tax are worked out as follows.</w:t>
            </w:r>
          </w:p>
          <w:tbl>
            <w:tblPr>
              <w:tblStyle w:val="TableGrid"/>
              <w:tblW w:w="7654" w:type="dxa"/>
              <w:tblInd w:w="567" w:type="dxa"/>
              <w:tblLayout w:type="fixed"/>
              <w:tblLook w:val="04A0" w:firstRow="1" w:lastRow="0" w:firstColumn="1" w:lastColumn="0" w:noHBand="0" w:noVBand="1"/>
            </w:tblPr>
            <w:tblGrid>
              <w:gridCol w:w="7654"/>
            </w:tblGrid>
            <w:tr w:rsidR="00EF4EC1" w:rsidRPr="00E331FB" w:rsidTr="00EF4EC1">
              <w:tc>
                <w:tcPr>
                  <w:tcW w:w="7654" w:type="dxa"/>
                </w:tcPr>
                <w:p w:rsidR="00EF4EC1" w:rsidRPr="00E331FB" w:rsidRDefault="00EF4EC1" w:rsidP="00EF4EC1">
                  <w:pPr>
                    <w:pStyle w:val="Slide2"/>
                    <w:rPr>
                      <w:i/>
                      <w:color w:val="0000FF"/>
                      <w:sz w:val="20"/>
                      <w:szCs w:val="20"/>
                      <w:lang w:val="en-AU"/>
                    </w:rPr>
                  </w:pPr>
                  <w:r w:rsidRPr="00E331FB">
                    <w:rPr>
                      <w:i/>
                      <w:color w:val="0000FF"/>
                      <w:sz w:val="20"/>
                      <w:szCs w:val="20"/>
                      <w:lang w:val="en-AU"/>
                    </w:rPr>
                    <w:t>Method statement</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1</w:t>
                  </w:r>
                  <w:r w:rsidRPr="00E331FB">
                    <w:rPr>
                      <w:color w:val="0000FF"/>
                      <w:sz w:val="20"/>
                      <w:szCs w:val="20"/>
                      <w:lang w:val="en-AU"/>
                    </w:rPr>
                    <w:t>.</w:t>
                  </w:r>
                  <w:r w:rsidRPr="00E331FB">
                    <w:rPr>
                      <w:color w:val="0000FF"/>
                      <w:sz w:val="20"/>
                      <w:szCs w:val="20"/>
                      <w:lang w:val="en-AU"/>
                    </w:rPr>
                    <w:tab/>
                    <w:t>Work out for each employee his or her share (if any) of the amounts that, if section 57A did not apply, would be the taxable values of the excluded fringe benefits for the year of tax in respect of the employee’s employment by the employer if those benefits were not excluded fringe benefits, but disregarding benefits:</w:t>
                  </w:r>
                </w:p>
                <w:p w:rsidR="00EF4EC1" w:rsidRPr="00E331FB" w:rsidRDefault="00EF4EC1" w:rsidP="00EF4EC1">
                  <w:pPr>
                    <w:pStyle w:val="Slide2"/>
                    <w:spacing w:before="80"/>
                    <w:ind w:left="1163" w:hanging="454"/>
                    <w:rPr>
                      <w:color w:val="0000FF"/>
                      <w:sz w:val="20"/>
                      <w:szCs w:val="20"/>
                      <w:lang w:val="en-AU"/>
                    </w:rPr>
                  </w:pPr>
                  <w:r w:rsidRPr="00E331FB">
                    <w:rPr>
                      <w:color w:val="0000FF"/>
                      <w:sz w:val="20"/>
                      <w:szCs w:val="20"/>
                      <w:lang w:val="en-AU"/>
                    </w:rPr>
                    <w:t>(a)</w:t>
                  </w:r>
                  <w:r w:rsidRPr="00E331FB">
                    <w:rPr>
                      <w:color w:val="0000FF"/>
                      <w:sz w:val="20"/>
                      <w:szCs w:val="20"/>
                      <w:lang w:val="en-AU"/>
                    </w:rPr>
                    <w:tab/>
                    <w:t>that constitute the provision of meals or entertainment as defined in section 37AD (whether or not the employer made an election under section 37AA); or</w:t>
                  </w:r>
                </w:p>
                <w:p w:rsidR="00EF4EC1" w:rsidRPr="00E331FB" w:rsidRDefault="00EF4EC1" w:rsidP="00EF4EC1">
                  <w:pPr>
                    <w:pStyle w:val="Slide2"/>
                    <w:spacing w:before="80"/>
                    <w:ind w:left="1163" w:hanging="454"/>
                    <w:rPr>
                      <w:color w:val="0000FF"/>
                      <w:sz w:val="20"/>
                      <w:szCs w:val="20"/>
                      <w:lang w:val="en-AU"/>
                    </w:rPr>
                  </w:pPr>
                  <w:r w:rsidRPr="00E331FB">
                    <w:rPr>
                      <w:color w:val="0000FF"/>
                      <w:sz w:val="20"/>
                      <w:szCs w:val="20"/>
                      <w:lang w:val="en-AU"/>
                    </w:rPr>
                    <w:t>(b)</w:t>
                  </w:r>
                  <w:r w:rsidRPr="00E331FB">
                    <w:rPr>
                      <w:color w:val="0000FF"/>
                      <w:sz w:val="20"/>
                      <w:szCs w:val="20"/>
                      <w:lang w:val="en-AU"/>
                    </w:rPr>
                    <w:tab/>
                    <w:t>that are car parking fringe benefits; or</w:t>
                  </w:r>
                </w:p>
                <w:p w:rsidR="00EF4EC1" w:rsidRPr="00E331FB" w:rsidRDefault="00EF4EC1" w:rsidP="00EF4EC1">
                  <w:pPr>
                    <w:pStyle w:val="Slide2"/>
                    <w:spacing w:before="80"/>
                    <w:ind w:left="1163" w:hanging="454"/>
                    <w:rPr>
                      <w:color w:val="0000FF"/>
                      <w:sz w:val="20"/>
                      <w:szCs w:val="20"/>
                      <w:lang w:val="en-AU"/>
                    </w:rPr>
                  </w:pPr>
                  <w:r w:rsidRPr="00E331FB">
                    <w:rPr>
                      <w:color w:val="0000FF"/>
                      <w:sz w:val="20"/>
                      <w:szCs w:val="20"/>
                      <w:lang w:val="en-AU"/>
                    </w:rPr>
                    <w:t>(c)</w:t>
                  </w:r>
                  <w:r w:rsidRPr="00E331FB">
                    <w:rPr>
                      <w:color w:val="0000FF"/>
                      <w:sz w:val="20"/>
                      <w:szCs w:val="20"/>
                      <w:lang w:val="en-AU"/>
                    </w:rPr>
                    <w:tab/>
                    <w:t>whose taxable values are wholly or partly attributable to entertainment facility leasing expenses.</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2</w:t>
                  </w:r>
                  <w:r w:rsidRPr="00E331FB">
                    <w:rPr>
                      <w:color w:val="0000FF"/>
                      <w:sz w:val="20"/>
                      <w:szCs w:val="20"/>
                      <w:lang w:val="en-AU"/>
                    </w:rPr>
                    <w:t>.</w:t>
                  </w:r>
                  <w:r w:rsidRPr="00E331FB">
                    <w:rPr>
                      <w:color w:val="0000FF"/>
                      <w:sz w:val="20"/>
                      <w:szCs w:val="20"/>
                      <w:lang w:val="en-AU"/>
                    </w:rPr>
                    <w:tab/>
                    <w:t>Identify the benefits taken into account in step 1 that are GST</w:t>
                  </w:r>
                  <w:r>
                    <w:rPr>
                      <w:color w:val="0000FF"/>
                      <w:sz w:val="20"/>
                      <w:szCs w:val="20"/>
                      <w:lang w:val="en-AU"/>
                    </w:rPr>
                    <w:noBreakHyphen/>
                  </w:r>
                  <w:r w:rsidRPr="00E331FB">
                    <w:rPr>
                      <w:color w:val="0000FF"/>
                      <w:sz w:val="20"/>
                      <w:szCs w:val="20"/>
                      <w:lang w:val="en-AU"/>
                    </w:rPr>
                    <w:t>creditable benefits (see section 149A).</w:t>
                  </w:r>
                </w:p>
                <w:p w:rsidR="00EF4EC1" w:rsidRPr="00E331FB" w:rsidRDefault="00EF4EC1" w:rsidP="00EF4EC1">
                  <w:pPr>
                    <w:pStyle w:val="Slide2"/>
                    <w:ind w:left="737" w:hanging="737"/>
                    <w:rPr>
                      <w:color w:val="0000FF"/>
                      <w:sz w:val="20"/>
                      <w:szCs w:val="20"/>
                      <w:lang w:val="en-AU"/>
                    </w:rPr>
                  </w:pPr>
                  <w:r w:rsidRPr="00E331FB">
                    <w:rPr>
                      <w:i/>
                      <w:color w:val="0000FF"/>
                      <w:sz w:val="20"/>
                      <w:szCs w:val="20"/>
                      <w:lang w:val="en-AU"/>
                    </w:rPr>
                    <w:t>Step 3</w:t>
                  </w:r>
                  <w:r w:rsidRPr="00E331FB">
                    <w:rPr>
                      <w:color w:val="0000FF"/>
                      <w:sz w:val="20"/>
                      <w:szCs w:val="20"/>
                      <w:lang w:val="en-AU"/>
                    </w:rPr>
                    <w:t>.</w:t>
                  </w:r>
                  <w:r w:rsidRPr="00E331FB">
                    <w:rPr>
                      <w:color w:val="0000FF"/>
                      <w:sz w:val="20"/>
                      <w:szCs w:val="20"/>
                      <w:lang w:val="en-AU"/>
                    </w:rPr>
                    <w:tab/>
                    <w:t>So much of the amount worked out under step 1 that relates to the benefits identified under step 2 is the step 3 of subsection (1L) amount for the individual.</w:t>
                  </w:r>
                </w:p>
                <w:p w:rsidR="00EF4EC1" w:rsidRPr="00E331FB" w:rsidRDefault="00EF4EC1" w:rsidP="00EF4EC1">
                  <w:pPr>
                    <w:pStyle w:val="Slide2"/>
                    <w:ind w:left="737" w:hanging="737"/>
                    <w:rPr>
                      <w:color w:val="0000FF"/>
                      <w:lang w:val="en-AU"/>
                    </w:rPr>
                  </w:pPr>
                  <w:r w:rsidRPr="00E331FB">
                    <w:rPr>
                      <w:i/>
                      <w:color w:val="0000FF"/>
                      <w:sz w:val="20"/>
                      <w:szCs w:val="20"/>
                      <w:lang w:val="en-AU"/>
                    </w:rPr>
                    <w:t>Step 4</w:t>
                  </w:r>
                  <w:r w:rsidRPr="00E331FB">
                    <w:rPr>
                      <w:color w:val="0000FF"/>
                      <w:sz w:val="20"/>
                      <w:szCs w:val="20"/>
                      <w:lang w:val="en-AU"/>
                    </w:rPr>
                    <w:t>.</w:t>
                  </w:r>
                  <w:r w:rsidRPr="00E331FB">
                    <w:rPr>
                      <w:color w:val="0000FF"/>
                      <w:sz w:val="20"/>
                      <w:szCs w:val="20"/>
                      <w:lang w:val="en-AU"/>
                    </w:rPr>
                    <w:tab/>
                    <w:t>The remainder of the amount is the step 4 of subsection (1L) amount for the individual.</w:t>
                  </w:r>
                </w:p>
              </w:tc>
            </w:tr>
          </w:tbl>
          <w:p w:rsidR="00EF4EC1" w:rsidRDefault="00EF4EC1" w:rsidP="00EF4EC1">
            <w:pPr>
              <w:pStyle w:val="Slide2"/>
              <w:rPr>
                <w:color w:val="0000FF"/>
              </w:rPr>
            </w:pPr>
          </w:p>
          <w:p w:rsidR="00D93B99" w:rsidRDefault="00D93B99" w:rsidP="00EF4EC1">
            <w:pPr>
              <w:pStyle w:val="Slide2"/>
              <w:rPr>
                <w:color w:val="0000FF"/>
              </w:rPr>
            </w:pPr>
          </w:p>
          <w:p w:rsidR="00D93B99" w:rsidRDefault="00D93B99" w:rsidP="00EF4EC1">
            <w:pPr>
              <w:pStyle w:val="Slide2"/>
              <w:rPr>
                <w:color w:val="0000FF"/>
              </w:rPr>
            </w:pPr>
          </w:p>
          <w:p w:rsidR="00EF4EC1" w:rsidRPr="00E331FB" w:rsidRDefault="00EF4EC1" w:rsidP="00EF4EC1">
            <w:pPr>
              <w:pStyle w:val="Slide2"/>
              <w:rPr>
                <w:color w:val="0000FF"/>
              </w:rPr>
            </w:pPr>
            <w:r w:rsidRPr="00E331FB">
              <w:rPr>
                <w:color w:val="0000FF"/>
              </w:rPr>
              <w:lastRenderedPageBreak/>
              <w:t>(2)</w:t>
            </w:r>
            <w:r w:rsidRPr="00E331FB">
              <w:rPr>
                <w:color w:val="0000FF"/>
              </w:rPr>
              <w:tab/>
              <w:t>In this section:</w:t>
            </w:r>
          </w:p>
          <w:p w:rsidR="00EF4EC1" w:rsidRPr="00E331FB" w:rsidRDefault="00EF4EC1" w:rsidP="00EF4EC1">
            <w:pPr>
              <w:pStyle w:val="Slide3"/>
              <w:rPr>
                <w:color w:val="0000FF"/>
              </w:rPr>
            </w:pPr>
            <w:r w:rsidRPr="00E331FB">
              <w:rPr>
                <w:b/>
                <w:i/>
                <w:color w:val="0000FF"/>
              </w:rPr>
              <w:t>FBT rate</w:t>
            </w:r>
            <w:r w:rsidRPr="00E331FB">
              <w:rPr>
                <w:color w:val="0000FF"/>
              </w:rPr>
              <w:t xml:space="preserve"> means the rate of fringe benefits tax for the year of tax.</w:t>
            </w:r>
          </w:p>
          <w:p w:rsidR="00EF4EC1" w:rsidRPr="00E331FB" w:rsidRDefault="00EF4EC1" w:rsidP="00EF4EC1">
            <w:pPr>
              <w:pStyle w:val="Slide3"/>
              <w:rPr>
                <w:color w:val="0000FF"/>
              </w:rPr>
            </w:pPr>
            <w:r w:rsidRPr="00E331FB">
              <w:rPr>
                <w:b/>
                <w:i/>
                <w:color w:val="0000FF"/>
              </w:rPr>
              <w:t>GST rate</w:t>
            </w:r>
            <w:r w:rsidRPr="00E331FB">
              <w:rPr>
                <w:color w:val="0000FF"/>
              </w:rPr>
              <w:t xml:space="preserve"> means the rate of goods and services tax payable under the </w:t>
            </w:r>
            <w:r w:rsidRPr="00E331FB">
              <w:rPr>
                <w:i/>
                <w:color w:val="0000FF"/>
              </w:rPr>
              <w:t>A New Tax System (Goods and Services Tax) Act 1999</w:t>
            </w:r>
            <w:r w:rsidRPr="00E331FB">
              <w:rPr>
                <w:color w:val="0000FF"/>
              </w:rPr>
              <w:t xml:space="preserve"> for the year of tax.</w:t>
            </w:r>
          </w:p>
          <w:p w:rsidR="00EF4EC1" w:rsidRPr="00E331FB" w:rsidRDefault="00EF4EC1" w:rsidP="00EF4EC1">
            <w:pPr>
              <w:pStyle w:val="Slide3"/>
              <w:rPr>
                <w:color w:val="0000FF"/>
              </w:rPr>
            </w:pPr>
            <w:r w:rsidRPr="00E331FB">
              <w:rPr>
                <w:b/>
                <w:i/>
                <w:color w:val="0000FF"/>
              </w:rPr>
              <w:t>type 1 aggregate fringe benefits amount</w:t>
            </w:r>
            <w:r w:rsidRPr="00E331FB">
              <w:rPr>
                <w:color w:val="0000FF"/>
              </w:rPr>
              <w:t xml:space="preserve"> means the employer’s type 1 aggregate fringe benefits amount for the year of tax worked out under subsection 5C(3).</w:t>
            </w:r>
          </w:p>
          <w:p w:rsidR="00EF4EC1" w:rsidRPr="00E331FB" w:rsidRDefault="00EF4EC1" w:rsidP="00EF4EC1">
            <w:pPr>
              <w:pStyle w:val="Slide3"/>
              <w:rPr>
                <w:color w:val="0000FF"/>
              </w:rPr>
            </w:pPr>
            <w:r w:rsidRPr="00E331FB">
              <w:rPr>
                <w:b/>
                <w:i/>
                <w:color w:val="0000FF"/>
              </w:rPr>
              <w:t>type 2 aggregate fringe benefits amount</w:t>
            </w:r>
            <w:r w:rsidRPr="00E331FB">
              <w:rPr>
                <w:color w:val="0000FF"/>
              </w:rPr>
              <w:t xml:space="preserve"> means the employer’s type 2 aggregate fringe benefits amount for the year of tax worked out under subsection 5C(4).</w:t>
            </w:r>
          </w:p>
        </w:tc>
      </w:tr>
      <w:tr w:rsidR="00EF4EC1" w:rsidRPr="00525396" w:rsidTr="00EF4EC1">
        <w:trPr>
          <w:cantSplit/>
        </w:trPr>
        <w:tc>
          <w:tcPr>
            <w:tcW w:w="8505" w:type="dxa"/>
            <w:shd w:val="clear" w:color="auto" w:fill="FFFFFF"/>
          </w:tcPr>
          <w:p w:rsidR="00EF4EC1" w:rsidRPr="00E331FB" w:rsidRDefault="00EF4EC1" w:rsidP="00EF4EC1">
            <w:pPr>
              <w:pStyle w:val="Slide2"/>
              <w:rPr>
                <w:rStyle w:val="CharSectno"/>
                <w:i/>
                <w:color w:val="0000FF"/>
              </w:rPr>
            </w:pPr>
            <w:r w:rsidRPr="00E331FB">
              <w:rPr>
                <w:rStyle w:val="CharSectno"/>
                <w:i/>
                <w:color w:val="0000FF"/>
              </w:rPr>
              <w:lastRenderedPageBreak/>
              <w:t>Alternative version using formulae</w:t>
            </w:r>
          </w:p>
          <w:p w:rsidR="00EF4EC1" w:rsidRPr="00E331FB" w:rsidRDefault="00EF4EC1" w:rsidP="00EF4EC1">
            <w:pPr>
              <w:pStyle w:val="Slide1"/>
              <w:keepNext w:val="0"/>
              <w:rPr>
                <w:color w:val="0000FF"/>
              </w:rPr>
            </w:pPr>
            <w:r w:rsidRPr="00E331FB">
              <w:rPr>
                <w:rStyle w:val="CharSectno"/>
                <w:color w:val="0000FF"/>
              </w:rPr>
              <w:t>5B</w:t>
            </w:r>
            <w:r w:rsidRPr="00E331FB">
              <w:rPr>
                <w:rStyle w:val="CharSectno"/>
                <w:color w:val="0000FF"/>
              </w:rPr>
              <w:tab/>
            </w:r>
            <w:r w:rsidRPr="00E331FB">
              <w:rPr>
                <w:color w:val="0000FF"/>
              </w:rPr>
              <w:t>Working out an employer’s fringe benefits taxable amount</w:t>
            </w:r>
          </w:p>
          <w:p w:rsidR="00EF4EC1" w:rsidRPr="00E331FB" w:rsidRDefault="00EF4EC1" w:rsidP="00EF4EC1">
            <w:pPr>
              <w:pStyle w:val="Slide2"/>
              <w:rPr>
                <w:color w:val="0000FF"/>
              </w:rPr>
            </w:pPr>
            <w:r w:rsidRPr="00E331FB">
              <w:rPr>
                <w:color w:val="0000FF"/>
              </w:rPr>
              <w:t>(1)</w:t>
            </w:r>
            <w:r w:rsidRPr="00E331FB">
              <w:rPr>
                <w:color w:val="0000FF"/>
              </w:rPr>
              <w:tab/>
              <w:t xml:space="preserve">An employer’s </w:t>
            </w:r>
            <w:r w:rsidRPr="00E331FB">
              <w:rPr>
                <w:b/>
                <w:color w:val="0000FF"/>
              </w:rPr>
              <w:t>fringe benefits taxable amount</w:t>
            </w:r>
            <w:r w:rsidRPr="00E331FB">
              <w:rPr>
                <w:color w:val="0000FF"/>
              </w:rPr>
              <w:t xml:space="preserve"> for a year of tax is the amount calculated using the formula:</w:t>
            </w:r>
          </w:p>
          <w:p w:rsidR="00EF4EC1" w:rsidRPr="00E331FB" w:rsidRDefault="00EF4EC1" w:rsidP="00EF4EC1">
            <w:pPr>
              <w:pStyle w:val="SlideEquation"/>
              <w:rPr>
                <w:color w:val="0000FF"/>
                <w:oMath/>
              </w:rPr>
            </w:pPr>
            <m:oMathPara>
              <m:oMathParaPr>
                <m:jc m:val="left"/>
              </m:oMathParaPr>
              <m:oMath>
                <m:r>
                  <m:rPr>
                    <m:nor/>
                  </m:rPr>
                  <w:rPr>
                    <w:color w:val="0000FF"/>
                  </w:rPr>
                  <m:t>f</m:t>
                </m:r>
                <m:r>
                  <m:rPr>
                    <m:nor/>
                  </m:rPr>
                  <w:rPr>
                    <w:rFonts w:ascii="Cambria Math"/>
                    <w:color w:val="0000FF"/>
                  </w:rPr>
                  <m:t xml:space="preserve"> </m:t>
                </m:r>
                <m:r>
                  <m:rPr>
                    <m:nor/>
                  </m:rPr>
                  <w:rPr>
                    <w:color w:val="0000FF"/>
                  </w:rPr>
                  <m:t>=</m:t>
                </m:r>
                <m:r>
                  <m:rPr>
                    <m:nor/>
                  </m:rPr>
                  <w:rPr>
                    <w:rFonts w:ascii="Cambria Math"/>
                    <w:color w:val="0000FF"/>
                  </w:rPr>
                  <m:t xml:space="preserve"> </m:t>
                </m:r>
                <m:d>
                  <m:dPr>
                    <m:ctrlPr>
                      <w:rPr>
                        <w:rFonts w:ascii="Cambria Math" w:hAnsi="Cambria Math"/>
                        <w:i/>
                        <w:color w:val="0000FF"/>
                      </w:rPr>
                    </m:ctrlPr>
                  </m:dPr>
                  <m:e>
                    <m:sSub>
                      <m:sSubPr>
                        <m:ctrlPr>
                          <w:rPr>
                            <w:rFonts w:ascii="Cambria Math" w:hAnsi="Cambria Math"/>
                            <w:i/>
                            <w:color w:val="0000FF"/>
                          </w:rPr>
                        </m:ctrlPr>
                      </m:sSubPr>
                      <m:e>
                        <m:r>
                          <m:rPr>
                            <m:nor/>
                          </m:rPr>
                          <w:rPr>
                            <w:color w:val="0000FF"/>
                          </w:rPr>
                          <m:t>a</m:t>
                        </m:r>
                      </m:e>
                      <m:sub>
                        <m:r>
                          <m:rPr>
                            <m:nor/>
                          </m:rPr>
                          <w:rPr>
                            <w:color w:val="0000FF"/>
                          </w:rPr>
                          <m:t>1</m:t>
                        </m:r>
                      </m:sub>
                    </m:sSub>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s</m:t>
                    </m:r>
                  </m:e>
                </m:d>
                <m:r>
                  <w:rPr>
                    <w:rFonts w:ascii="Cambria Math" w:hAnsi="Cambria Math"/>
                    <w:color w:val="0000FF"/>
                  </w:rPr>
                  <m:t xml:space="preserve"> +</m:t>
                </m:r>
                <m:d>
                  <m:dPr>
                    <m:ctrlPr>
                      <w:rPr>
                        <w:rFonts w:ascii="Cambria Math" w:hAnsi="Cambria Math"/>
                        <w:i/>
                        <w:color w:val="0000FF"/>
                      </w:rPr>
                    </m:ctrlPr>
                  </m:dPr>
                  <m:e>
                    <m:sSub>
                      <m:sSubPr>
                        <m:ctrlPr>
                          <w:rPr>
                            <w:rFonts w:ascii="Cambria Math" w:hAnsi="Cambria Math"/>
                            <w:i/>
                            <w:color w:val="0000FF"/>
                          </w:rPr>
                        </m:ctrlPr>
                      </m:sSubPr>
                      <m:e>
                        <m:r>
                          <m:rPr>
                            <m:nor/>
                          </m:rPr>
                          <w:rPr>
                            <w:color w:val="0000FF"/>
                          </w:rPr>
                          <m:t>a</m:t>
                        </m:r>
                      </m:e>
                      <m:sub>
                        <m:r>
                          <m:rPr>
                            <m:nor/>
                          </m:rPr>
                          <w:rPr>
                            <w:color w:val="0000FF"/>
                          </w:rPr>
                          <m:t>2</m:t>
                        </m:r>
                      </m:sub>
                    </m:sSub>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t</m:t>
                    </m:r>
                    <m:r>
                      <m:rPr>
                        <m:nor/>
                      </m:rPr>
                      <w:rPr>
                        <w:rFonts w:ascii="Cambria Math"/>
                        <w:color w:val="0000FF"/>
                      </w:rPr>
                      <m:t xml:space="preserve"> </m:t>
                    </m:r>
                  </m:e>
                </m:d>
                <m:r>
                  <m:rPr>
                    <m:nor/>
                  </m:rPr>
                  <w:rPr>
                    <w:rFonts w:ascii="Cambria Math"/>
                    <w:color w:val="0000FF"/>
                  </w:rPr>
                  <m:t xml:space="preserve"> </m:t>
                </m:r>
                <m:r>
                  <m:rPr>
                    <m:nor/>
                  </m:rPr>
                  <w:rPr>
                    <w:rFonts w:ascii="Cambria Math" w:hAnsi="Cambria Math"/>
                    <w:color w:val="0000FF"/>
                  </w:rPr>
                  <m:t>+</m:t>
                </m:r>
                <m:nary>
                  <m:naryPr>
                    <m:chr m:val="∑"/>
                    <m:limLoc m:val="undOvr"/>
                    <m:ctrlPr>
                      <w:rPr>
                        <w:rFonts w:ascii="Cambria Math" w:hAnsi="Cambria Math"/>
                        <w:i/>
                        <w:color w:val="0000FF"/>
                      </w:rPr>
                    </m:ctrlPr>
                  </m:naryPr>
                  <m:sub>
                    <m:r>
                      <m:rPr>
                        <m:nor/>
                      </m:rPr>
                      <w:rPr>
                        <w:color w:val="0000FF"/>
                      </w:rPr>
                      <m:t>e</m:t>
                    </m:r>
                    <m:r>
                      <m:rPr>
                        <m:nor/>
                      </m:rPr>
                      <w:rPr>
                        <w:rFonts w:ascii="Cambria Math"/>
                        <w:color w:val="0000FF"/>
                      </w:rPr>
                      <m:t xml:space="preserve"> </m:t>
                    </m:r>
                    <m:r>
                      <m:rPr>
                        <m:nor/>
                      </m:rPr>
                      <w:rPr>
                        <w:color w:val="0000FF"/>
                      </w:rPr>
                      <m:t>=</m:t>
                    </m:r>
                    <m:r>
                      <m:rPr>
                        <m:nor/>
                      </m:rPr>
                      <w:rPr>
                        <w:rFonts w:ascii="Cambria Math"/>
                        <w:color w:val="0000FF"/>
                      </w:rPr>
                      <m:t xml:space="preserve"> </m:t>
                    </m:r>
                    <m:r>
                      <m:rPr>
                        <m:nor/>
                      </m:rPr>
                      <w:rPr>
                        <w:color w:val="0000FF"/>
                      </w:rPr>
                      <m:t>1</m:t>
                    </m:r>
                  </m:sub>
                  <m:sup>
                    <m:r>
                      <m:rPr>
                        <m:nor/>
                      </m:rPr>
                      <w:rPr>
                        <w:color w:val="0000FF"/>
                      </w:rPr>
                      <m:t>n</m:t>
                    </m:r>
                  </m:sup>
                  <m:e>
                    <m:d>
                      <m:dPr>
                        <m:ctrlPr>
                          <w:rPr>
                            <w:rFonts w:ascii="Cambria Math" w:hAnsi="Cambria Math"/>
                            <w:i/>
                            <w:color w:val="0000FF"/>
                          </w:rPr>
                        </m:ctrlPr>
                      </m:dPr>
                      <m:e>
                        <m:sSub>
                          <m:sSubPr>
                            <m:ctrlPr>
                              <w:rPr>
                                <w:rFonts w:ascii="Cambria Math" w:hAnsi="Cambria Math"/>
                                <w:i/>
                                <w:color w:val="0000FF"/>
                              </w:rPr>
                            </m:ctrlPr>
                          </m:sSubPr>
                          <m:e>
                            <m:r>
                              <m:rPr>
                                <m:nor/>
                              </m:rPr>
                              <w:rPr>
                                <w:color w:val="0000FF"/>
                              </w:rPr>
                              <m:t>g</m:t>
                            </m:r>
                          </m:e>
                          <m:sub>
                            <m:r>
                              <m:rPr>
                                <m:nor/>
                              </m:rPr>
                              <w:rPr>
                                <w:color w:val="0000FF"/>
                              </w:rPr>
                              <m:t>e</m:t>
                            </m:r>
                          </m:sub>
                        </m:sSub>
                        <m:r>
                          <m:rPr>
                            <m:sty m:val="p"/>
                          </m:rPr>
                          <w:rPr>
                            <w:rFonts w:ascii="Cambria Math" w:hAnsi="Cambria Math"/>
                            <w:color w:val="0000FF"/>
                          </w:rPr>
                          <m:t>-</m:t>
                        </m:r>
                        <m:sSub>
                          <m:sSubPr>
                            <m:ctrlPr>
                              <w:rPr>
                                <w:rFonts w:ascii="Cambria Math" w:hAnsi="Cambria Math"/>
                                <w:i/>
                                <w:color w:val="0000FF"/>
                              </w:rPr>
                            </m:ctrlPr>
                          </m:sSubPr>
                          <m:e>
                            <m:r>
                              <m:rPr>
                                <m:nor/>
                              </m:rPr>
                              <w:rPr>
                                <w:color w:val="0000FF"/>
                              </w:rPr>
                              <m:t>z</m:t>
                            </m:r>
                          </m:e>
                          <m:sub>
                            <m:r>
                              <m:rPr>
                                <m:nor/>
                              </m:rPr>
                              <w:rPr>
                                <w:color w:val="0000FF"/>
                              </w:rPr>
                              <m:t>e</m:t>
                            </m:r>
                          </m:sub>
                        </m:sSub>
                      </m:e>
                    </m:d>
                  </m:e>
                </m:nary>
              </m:oMath>
            </m:oMathPara>
          </w:p>
          <w:p w:rsidR="00EF4EC1" w:rsidRPr="00E331FB" w:rsidRDefault="00EF4EC1" w:rsidP="00EF4EC1">
            <w:pPr>
              <w:pStyle w:val="Slide3"/>
              <w:keepNext/>
              <w:keepLines/>
              <w:rPr>
                <w:color w:val="0000FF"/>
              </w:rPr>
            </w:pPr>
            <w:r w:rsidRPr="00E331FB">
              <w:rPr>
                <w:color w:val="0000FF"/>
              </w:rPr>
              <w:t>where:</w:t>
            </w:r>
          </w:p>
          <w:p w:rsidR="00EF4EC1" w:rsidRPr="00E331FB" w:rsidRDefault="00EF4EC1" w:rsidP="00EF4EC1">
            <w:pPr>
              <w:pStyle w:val="Slide3"/>
              <w:keepNext/>
              <w:keepLines/>
              <w:rPr>
                <w:color w:val="0000FF"/>
              </w:rPr>
            </w:pPr>
            <w:r w:rsidRPr="00E331FB">
              <w:rPr>
                <w:color w:val="0000FF"/>
              </w:rPr>
              <w:t>f</w:t>
            </w:r>
            <w:r w:rsidRPr="00E331FB">
              <w:rPr>
                <w:color w:val="0000FF"/>
              </w:rPr>
              <w:tab/>
              <w:t>=</w:t>
            </w:r>
            <w:r w:rsidRPr="00E331FB">
              <w:rPr>
                <w:color w:val="0000FF"/>
              </w:rPr>
              <w:tab/>
              <w:t>employer’s fringe benefits taxable amount for the year</w:t>
            </w:r>
          </w:p>
          <w:p w:rsidR="00EF4EC1" w:rsidRPr="00E331FB" w:rsidRDefault="00EF4EC1" w:rsidP="00EF4EC1">
            <w:pPr>
              <w:pStyle w:val="Slide3"/>
              <w:rPr>
                <w:color w:val="0000FF"/>
              </w:rPr>
            </w:pPr>
            <w:r w:rsidRPr="00E331FB">
              <w:rPr>
                <w:color w:val="0000FF"/>
              </w:rPr>
              <w:t>a</w:t>
            </w:r>
            <w:r w:rsidRPr="00E331FB">
              <w:rPr>
                <w:color w:val="0000FF"/>
                <w:vertAlign w:val="subscript"/>
              </w:rPr>
              <w:t>1</w:t>
            </w:r>
            <w:r w:rsidRPr="00E331FB">
              <w:rPr>
                <w:color w:val="0000FF"/>
              </w:rPr>
              <w:tab/>
              <w:t>=</w:t>
            </w:r>
            <w:r w:rsidRPr="00E331FB">
              <w:rPr>
                <w:color w:val="0000FF"/>
              </w:rPr>
              <w:tab/>
              <w:t>the employer’s type 1 aggregate fringe benefits amount for the year of tax worked out under section 5C(3)</w:t>
            </w:r>
          </w:p>
          <w:p w:rsidR="00EF4EC1" w:rsidRPr="00E331FB" w:rsidRDefault="00EF4EC1" w:rsidP="00EF4EC1">
            <w:pPr>
              <w:pStyle w:val="Slide3"/>
              <w:rPr>
                <w:color w:val="0000FF"/>
              </w:rPr>
            </w:pPr>
            <w:r w:rsidRPr="00E331FB">
              <w:rPr>
                <w:color w:val="0000FF"/>
              </w:rPr>
              <w:t>a</w:t>
            </w:r>
            <w:r w:rsidRPr="00E331FB">
              <w:rPr>
                <w:color w:val="0000FF"/>
                <w:vertAlign w:val="subscript"/>
              </w:rPr>
              <w:t>2</w:t>
            </w:r>
            <w:r w:rsidRPr="00E331FB">
              <w:rPr>
                <w:color w:val="0000FF"/>
              </w:rPr>
              <w:tab/>
              <w:t>=</w:t>
            </w:r>
            <w:r w:rsidRPr="00E331FB">
              <w:rPr>
                <w:color w:val="0000FF"/>
              </w:rPr>
              <w:tab/>
              <w:t>the employer’s type 2 aggregate fringe benefits amount for the year of tax worked out under section 5C(4)</w:t>
            </w:r>
          </w:p>
          <w:p w:rsidR="00EF4EC1" w:rsidRPr="00E331FB" w:rsidRDefault="00EF4EC1" w:rsidP="00EF4EC1">
            <w:pPr>
              <w:pStyle w:val="Slide3"/>
              <w:rPr>
                <w:color w:val="0000FF"/>
              </w:rPr>
            </w:pPr>
            <w:r w:rsidRPr="00E331FB">
              <w:rPr>
                <w:color w:val="0000FF"/>
              </w:rPr>
              <w:t>s</w:t>
            </w:r>
            <w:r w:rsidRPr="00E331FB">
              <w:rPr>
                <w:color w:val="0000FF"/>
              </w:rPr>
              <w:tab/>
              <w:t>=</w:t>
            </w:r>
            <w:r w:rsidRPr="00E331FB">
              <w:rPr>
                <w:color w:val="0000FF"/>
              </w:rPr>
              <w:tab/>
            </w:r>
            <m:oMath>
              <m:f>
                <m:fPr>
                  <m:ctrlPr>
                    <w:rPr>
                      <w:rFonts w:ascii="Cambria Math" w:hAnsi="Cambria Math"/>
                      <w:color w:val="0000FF"/>
                      <w:sz w:val="32"/>
                      <w:szCs w:val="32"/>
                    </w:rPr>
                  </m:ctrlPr>
                </m:fPr>
                <m:num>
                  <m:d>
                    <m:dPr>
                      <m:ctrlPr>
                        <w:rPr>
                          <w:rFonts w:ascii="Cambria Math" w:hAnsi="Cambria Math"/>
                          <w:color w:val="0000FF"/>
                          <w:sz w:val="32"/>
                          <w:szCs w:val="32"/>
                        </w:rPr>
                      </m:ctrlPr>
                    </m:dPr>
                    <m:e>
                      <m:sSub>
                        <m:sSubPr>
                          <m:ctrlPr>
                            <w:rPr>
                              <w:rFonts w:ascii="Cambria Math" w:hAnsi="Cambria Math"/>
                              <w:color w:val="0000FF"/>
                              <w:sz w:val="32"/>
                              <w:szCs w:val="32"/>
                            </w:rPr>
                          </m:ctrlPr>
                        </m:sSubPr>
                        <m:e>
                          <m:r>
                            <m:rPr>
                              <m:nor/>
                            </m:rPr>
                            <w:rPr>
                              <w:color w:val="0000FF"/>
                              <w:sz w:val="32"/>
                              <w:szCs w:val="32"/>
                            </w:rPr>
                            <m:t>r</m:t>
                          </m:r>
                        </m:e>
                        <m:sub>
                          <m:r>
                            <m:rPr>
                              <m:nor/>
                            </m:rPr>
                            <w:rPr>
                              <w:color w:val="0000FF"/>
                              <w:sz w:val="32"/>
                              <w:szCs w:val="32"/>
                            </w:rPr>
                            <m:t>f</m:t>
                          </m:r>
                        </m:sub>
                      </m:sSub>
                      <m:r>
                        <m:rPr>
                          <m:nor/>
                        </m:rPr>
                        <w:rPr>
                          <w:color w:val="0000FF"/>
                          <w:sz w:val="32"/>
                          <w:szCs w:val="32"/>
                        </w:rPr>
                        <m:t xml:space="preserve"> + </m:t>
                      </m:r>
                      <m:sSub>
                        <m:sSubPr>
                          <m:ctrlPr>
                            <w:rPr>
                              <w:rFonts w:ascii="Cambria Math" w:hAnsi="Cambria Math"/>
                              <w:color w:val="0000FF"/>
                              <w:sz w:val="32"/>
                              <w:szCs w:val="32"/>
                            </w:rPr>
                          </m:ctrlPr>
                        </m:sSubPr>
                        <m:e>
                          <m:r>
                            <m:rPr>
                              <m:nor/>
                            </m:rPr>
                            <w:rPr>
                              <w:color w:val="0000FF"/>
                              <w:sz w:val="32"/>
                              <w:szCs w:val="32"/>
                            </w:rPr>
                            <m:t>r</m:t>
                          </m:r>
                        </m:e>
                        <m:sub>
                          <m:r>
                            <m:rPr>
                              <m:nor/>
                            </m:rPr>
                            <w:rPr>
                              <w:color w:val="0000FF"/>
                              <w:sz w:val="32"/>
                              <w:szCs w:val="32"/>
                            </w:rPr>
                            <m:t>g</m:t>
                          </m:r>
                        </m:sub>
                      </m:sSub>
                    </m:e>
                  </m:d>
                </m:num>
                <m:den>
                  <m:d>
                    <m:dPr>
                      <m:begChr m:val="["/>
                      <m:endChr m:val="]"/>
                      <m:ctrlPr>
                        <w:rPr>
                          <w:rFonts w:ascii="Cambria Math" w:hAnsi="Cambria Math"/>
                          <w:color w:val="0000FF"/>
                          <w:sz w:val="32"/>
                          <w:szCs w:val="32"/>
                        </w:rPr>
                      </m:ctrlPr>
                    </m:dPr>
                    <m:e>
                      <m:d>
                        <m:dPr>
                          <m:ctrlPr>
                            <w:rPr>
                              <w:rFonts w:ascii="Cambria Math" w:hAnsi="Cambria Math"/>
                              <w:color w:val="0000FF"/>
                              <w:sz w:val="32"/>
                              <w:szCs w:val="32"/>
                            </w:rPr>
                          </m:ctrlPr>
                        </m:dPr>
                        <m:e>
                          <m:r>
                            <m:rPr>
                              <m:nor/>
                            </m:rPr>
                            <w:rPr>
                              <w:color w:val="0000FF"/>
                              <w:sz w:val="32"/>
                              <w:szCs w:val="32"/>
                            </w:rPr>
                            <m:t xml:space="preserve">1- </m:t>
                          </m:r>
                          <m:sSub>
                            <m:sSubPr>
                              <m:ctrlPr>
                                <w:rPr>
                                  <w:rFonts w:ascii="Cambria Math" w:hAnsi="Cambria Math"/>
                                  <w:color w:val="0000FF"/>
                                  <w:sz w:val="32"/>
                                  <w:szCs w:val="32"/>
                                </w:rPr>
                              </m:ctrlPr>
                            </m:sSubPr>
                            <m:e>
                              <m:r>
                                <m:rPr>
                                  <m:nor/>
                                </m:rPr>
                                <w:rPr>
                                  <w:color w:val="0000FF"/>
                                  <w:sz w:val="32"/>
                                  <w:szCs w:val="32"/>
                                </w:rPr>
                                <m:t>r</m:t>
                              </m:r>
                            </m:e>
                            <m:sub>
                              <m:r>
                                <m:rPr>
                                  <m:nor/>
                                </m:rPr>
                                <w:rPr>
                                  <w:color w:val="0000FF"/>
                                  <w:sz w:val="32"/>
                                  <w:szCs w:val="32"/>
                                </w:rPr>
                                <m:t>f</m:t>
                              </m:r>
                            </m:sub>
                          </m:sSub>
                        </m:e>
                      </m:d>
                      <m:r>
                        <m:rPr>
                          <m:nor/>
                        </m:rPr>
                        <w:rPr>
                          <w:color w:val="0000FF"/>
                          <w:sz w:val="32"/>
                          <w:szCs w:val="32"/>
                        </w:rPr>
                        <m:t xml:space="preserve"> × </m:t>
                      </m:r>
                      <m:d>
                        <m:dPr>
                          <m:ctrlPr>
                            <w:rPr>
                              <w:rFonts w:ascii="Cambria Math" w:hAnsi="Cambria Math"/>
                              <w:color w:val="0000FF"/>
                              <w:sz w:val="32"/>
                              <w:szCs w:val="32"/>
                            </w:rPr>
                          </m:ctrlPr>
                        </m:dPr>
                        <m:e>
                          <m:r>
                            <m:rPr>
                              <m:nor/>
                            </m:rPr>
                            <w:rPr>
                              <w:color w:val="0000FF"/>
                              <w:sz w:val="32"/>
                              <w:szCs w:val="32"/>
                            </w:rPr>
                            <m:t xml:space="preserve">1 + </m:t>
                          </m:r>
                          <m:sSub>
                            <m:sSubPr>
                              <m:ctrlPr>
                                <w:rPr>
                                  <w:rFonts w:ascii="Cambria Math" w:hAnsi="Cambria Math"/>
                                  <w:color w:val="0000FF"/>
                                  <w:sz w:val="32"/>
                                  <w:szCs w:val="32"/>
                                </w:rPr>
                              </m:ctrlPr>
                            </m:sSubPr>
                            <m:e>
                              <m:r>
                                <m:rPr>
                                  <m:nor/>
                                </m:rPr>
                                <w:rPr>
                                  <w:color w:val="0000FF"/>
                                  <w:sz w:val="32"/>
                                  <w:szCs w:val="32"/>
                                </w:rPr>
                                <m:t>r</m:t>
                              </m:r>
                            </m:e>
                            <m:sub>
                              <m:r>
                                <m:rPr>
                                  <m:nor/>
                                </m:rPr>
                                <w:rPr>
                                  <w:color w:val="0000FF"/>
                                  <w:sz w:val="32"/>
                                  <w:szCs w:val="32"/>
                                </w:rPr>
                                <m:t>g</m:t>
                              </m:r>
                            </m:sub>
                          </m:sSub>
                        </m:e>
                      </m:d>
                      <m:r>
                        <m:rPr>
                          <m:nor/>
                        </m:rPr>
                        <w:rPr>
                          <w:color w:val="0000FF"/>
                          <w:sz w:val="32"/>
                          <w:szCs w:val="32"/>
                        </w:rPr>
                        <m:t xml:space="preserve"> × </m:t>
                      </m:r>
                      <m:sSub>
                        <m:sSubPr>
                          <m:ctrlPr>
                            <w:rPr>
                              <w:rFonts w:ascii="Cambria Math" w:hAnsi="Cambria Math"/>
                              <w:color w:val="0000FF"/>
                              <w:sz w:val="32"/>
                              <w:szCs w:val="32"/>
                            </w:rPr>
                          </m:ctrlPr>
                        </m:sSubPr>
                        <m:e>
                          <m:r>
                            <m:rPr>
                              <m:nor/>
                            </m:rPr>
                            <w:rPr>
                              <w:color w:val="0000FF"/>
                              <w:sz w:val="32"/>
                              <w:szCs w:val="32"/>
                            </w:rPr>
                            <m:t>r</m:t>
                          </m:r>
                        </m:e>
                        <m:sub>
                          <m:r>
                            <m:rPr>
                              <m:nor/>
                            </m:rPr>
                            <w:rPr>
                              <w:color w:val="0000FF"/>
                              <w:sz w:val="32"/>
                              <w:szCs w:val="32"/>
                            </w:rPr>
                            <m:t>f</m:t>
                          </m:r>
                        </m:sub>
                      </m:sSub>
                    </m:e>
                  </m:d>
                </m:den>
              </m:f>
            </m:oMath>
          </w:p>
          <w:p w:rsidR="00EF4EC1" w:rsidRPr="00E331FB" w:rsidRDefault="00EF4EC1" w:rsidP="00EF4EC1">
            <w:pPr>
              <w:pStyle w:val="Slide3"/>
              <w:rPr>
                <w:color w:val="0000FF"/>
              </w:rPr>
            </w:pPr>
            <w:r w:rsidRPr="00E331FB">
              <w:rPr>
                <w:color w:val="0000FF"/>
              </w:rPr>
              <w:t>t</w:t>
            </w:r>
            <w:r w:rsidRPr="00E331FB">
              <w:rPr>
                <w:color w:val="0000FF"/>
              </w:rPr>
              <w:tab/>
              <w:t>=</w:t>
            </w:r>
            <w:r w:rsidRPr="00E331FB">
              <w:rPr>
                <w:color w:val="0000FF"/>
              </w:rPr>
              <w:tab/>
            </w:r>
            <m:oMath>
              <m:f>
                <m:fPr>
                  <m:ctrlPr>
                    <w:rPr>
                      <w:rFonts w:ascii="Cambria Math" w:hAnsi="Cambria Math"/>
                      <w:i/>
                      <w:color w:val="0000FF"/>
                      <w:sz w:val="32"/>
                      <w:szCs w:val="32"/>
                    </w:rPr>
                  </m:ctrlPr>
                </m:fPr>
                <m:num>
                  <m:r>
                    <m:rPr>
                      <m:nor/>
                    </m:rPr>
                    <w:rPr>
                      <w:color w:val="0000FF"/>
                      <w:sz w:val="32"/>
                      <w:szCs w:val="32"/>
                    </w:rPr>
                    <m:t>1</m:t>
                  </m:r>
                </m:num>
                <m:den>
                  <m:d>
                    <m:dPr>
                      <m:ctrlPr>
                        <w:rPr>
                          <w:rFonts w:ascii="Cambria Math" w:hAnsi="Cambria Math"/>
                          <w:i/>
                          <w:color w:val="0000FF"/>
                          <w:sz w:val="32"/>
                          <w:szCs w:val="32"/>
                        </w:rPr>
                      </m:ctrlPr>
                    </m:dPr>
                    <m:e>
                      <m:r>
                        <m:rPr>
                          <m:nor/>
                        </m:rPr>
                        <w:rPr>
                          <w:color w:val="0000FF"/>
                          <w:sz w:val="32"/>
                          <w:szCs w:val="32"/>
                        </w:rPr>
                        <m:t>1</m:t>
                      </m:r>
                      <m:r>
                        <m:rPr>
                          <m:sty m:val="p"/>
                        </m:rPr>
                        <w:rPr>
                          <w:rFonts w:ascii="Cambria Math" w:hAnsi="Cambria Math"/>
                          <w:color w:val="0000FF"/>
                          <w:sz w:val="32"/>
                          <w:szCs w:val="32"/>
                        </w:rPr>
                        <m:t xml:space="preserve">- </m:t>
                      </m:r>
                      <m:sSub>
                        <m:sSubPr>
                          <m:ctrlPr>
                            <w:rPr>
                              <w:rFonts w:ascii="Cambria Math" w:hAnsi="Cambria Math"/>
                              <w:i/>
                              <w:color w:val="0000FF"/>
                              <w:sz w:val="32"/>
                              <w:szCs w:val="32"/>
                            </w:rPr>
                          </m:ctrlPr>
                        </m:sSubPr>
                        <m:e>
                          <m:r>
                            <m:rPr>
                              <m:nor/>
                            </m:rPr>
                            <w:rPr>
                              <w:color w:val="0000FF"/>
                              <w:sz w:val="32"/>
                              <w:szCs w:val="32"/>
                            </w:rPr>
                            <m:t>r</m:t>
                          </m:r>
                        </m:e>
                        <m:sub>
                          <m:r>
                            <m:rPr>
                              <m:nor/>
                            </m:rPr>
                            <w:rPr>
                              <w:color w:val="0000FF"/>
                              <w:sz w:val="32"/>
                              <w:szCs w:val="32"/>
                            </w:rPr>
                            <m:t>f</m:t>
                          </m:r>
                        </m:sub>
                      </m:sSub>
                    </m:e>
                  </m:d>
                </m:den>
              </m:f>
            </m:oMath>
          </w:p>
          <w:p w:rsidR="00EF4EC1" w:rsidRPr="00E331FB" w:rsidRDefault="00EF4EC1" w:rsidP="00EF4EC1">
            <w:pPr>
              <w:pStyle w:val="Slide3"/>
              <w:rPr>
                <w:color w:val="0000FF"/>
              </w:rPr>
            </w:pPr>
            <w:r w:rsidRPr="00E331FB">
              <w:rPr>
                <w:color w:val="0000FF"/>
              </w:rPr>
              <w:t>r</w:t>
            </w:r>
            <w:r w:rsidRPr="00E331FB">
              <w:rPr>
                <w:color w:val="0000FF"/>
                <w:vertAlign w:val="subscript"/>
              </w:rPr>
              <w:t>f</w:t>
            </w:r>
            <w:r w:rsidRPr="00E331FB">
              <w:rPr>
                <w:color w:val="0000FF"/>
              </w:rPr>
              <w:tab/>
              <w:t>=</w:t>
            </w:r>
            <w:r w:rsidRPr="00E331FB">
              <w:rPr>
                <w:color w:val="0000FF"/>
              </w:rPr>
              <w:tab/>
              <w:t>rate of fringe benefits tax for the year of tax</w:t>
            </w:r>
          </w:p>
          <w:p w:rsidR="00EF4EC1" w:rsidRPr="00E331FB" w:rsidRDefault="00EF4EC1" w:rsidP="00EF4EC1">
            <w:pPr>
              <w:pStyle w:val="Slide3"/>
              <w:rPr>
                <w:color w:val="0000FF"/>
              </w:rPr>
            </w:pPr>
            <w:r w:rsidRPr="00E331FB">
              <w:rPr>
                <w:color w:val="0000FF"/>
              </w:rPr>
              <w:t>r</w:t>
            </w:r>
            <w:r w:rsidRPr="00E331FB">
              <w:rPr>
                <w:color w:val="0000FF"/>
                <w:vertAlign w:val="subscript"/>
              </w:rPr>
              <w:t>g</w:t>
            </w:r>
            <w:r w:rsidRPr="00E331FB">
              <w:rPr>
                <w:color w:val="0000FF"/>
              </w:rPr>
              <w:tab/>
              <w:t>=</w:t>
            </w:r>
            <w:r w:rsidRPr="00E331FB">
              <w:rPr>
                <w:color w:val="0000FF"/>
              </w:rPr>
              <w:tab/>
              <w:t xml:space="preserve">rate of goods and services tax payable under the </w:t>
            </w:r>
            <w:r w:rsidRPr="00E331FB">
              <w:rPr>
                <w:i/>
                <w:color w:val="0000FF"/>
              </w:rPr>
              <w:t>A New Tax System (Goods and Services Tax) Act 1999</w:t>
            </w:r>
            <w:r w:rsidRPr="00E331FB">
              <w:rPr>
                <w:color w:val="0000FF"/>
              </w:rPr>
              <w:t xml:space="preserve"> for the year of tax</w:t>
            </w:r>
          </w:p>
          <w:p w:rsidR="00EF4EC1" w:rsidRPr="00E331FB" w:rsidRDefault="00EF4EC1" w:rsidP="00EF4EC1">
            <w:pPr>
              <w:pStyle w:val="Slide3"/>
              <w:rPr>
                <w:color w:val="0000FF"/>
              </w:rPr>
            </w:pPr>
            <w:r w:rsidRPr="00E331FB">
              <w:rPr>
                <w:color w:val="0000FF"/>
              </w:rPr>
              <w:t>n</w:t>
            </w:r>
            <w:r w:rsidRPr="00E331FB">
              <w:rPr>
                <w:color w:val="0000FF"/>
              </w:rPr>
              <w:tab/>
              <w:t>=</w:t>
            </w:r>
            <w:r w:rsidRPr="00E331FB">
              <w:rPr>
                <w:color w:val="0000FF"/>
              </w:rPr>
              <w:tab/>
              <w:t>number of the employer’s employees</w:t>
            </w:r>
          </w:p>
          <w:p w:rsidR="00EF4EC1" w:rsidRPr="00E331FB" w:rsidRDefault="00EF4EC1" w:rsidP="00EF4EC1">
            <w:pPr>
              <w:pStyle w:val="Slide3"/>
              <w:rPr>
                <w:color w:val="0000FF"/>
              </w:rPr>
            </w:pPr>
            <w:r w:rsidRPr="00E331FB">
              <w:rPr>
                <w:color w:val="0000FF"/>
              </w:rPr>
              <w:t>g</w:t>
            </w:r>
            <w:r w:rsidRPr="00E331FB">
              <w:rPr>
                <w:color w:val="0000FF"/>
                <w:vertAlign w:val="subscript"/>
              </w:rPr>
              <w:t>e</w:t>
            </w:r>
            <w:r w:rsidRPr="00E331FB">
              <w:rPr>
                <w:color w:val="0000FF"/>
              </w:rPr>
              <w:tab/>
              <w:t>=</w:t>
            </w:r>
            <w:r w:rsidRPr="00E331FB">
              <w:rPr>
                <w:color w:val="0000FF"/>
              </w:rPr>
              <w:tab/>
            </w:r>
            <m:oMath>
              <m:d>
                <m:dPr>
                  <m:begChr m:val="["/>
                  <m:endChr m:val="]"/>
                  <m:ctrlPr>
                    <w:rPr>
                      <w:rFonts w:ascii="Cambria Math" w:hAnsi="Cambria Math"/>
                      <w:color w:val="0000FF"/>
                    </w:rPr>
                  </m:ctrlPr>
                </m:dPr>
                <m:e>
                  <m:r>
                    <w:rPr>
                      <w:rFonts w:ascii="Cambria Math" w:hAnsi="Cambria Math"/>
                      <w:color w:val="0000FF"/>
                    </w:rPr>
                    <m:t xml:space="preserve"> </m:t>
                  </m:r>
                  <m:d>
                    <m:dPr>
                      <m:ctrlPr>
                        <w:rPr>
                          <w:rFonts w:ascii="Cambria Math" w:hAnsi="Cambria Math"/>
                          <w:color w:val="0000FF"/>
                        </w:rPr>
                      </m:ctrlPr>
                    </m:dPr>
                    <m:e>
                      <m:sSub>
                        <m:sSubPr>
                          <m:ctrlPr>
                            <w:rPr>
                              <w:rFonts w:ascii="Cambria Math" w:hAnsi="Cambria Math"/>
                              <w:color w:val="0000FF"/>
                            </w:rPr>
                          </m:ctrlPr>
                        </m:sSubPr>
                        <m:e>
                          <m:r>
                            <m:rPr>
                              <m:nor/>
                            </m:rPr>
                            <w:rPr>
                              <w:color w:val="0000FF"/>
                            </w:rPr>
                            <m:t>k</m:t>
                          </m:r>
                        </m:e>
                        <m:sub>
                          <m:r>
                            <m:rPr>
                              <m:nor/>
                            </m:rPr>
                            <w:rPr>
                              <w:color w:val="0000FF"/>
                            </w:rPr>
                            <m:t>e</m:t>
                          </m:r>
                        </m:sub>
                      </m:sSub>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sSub>
                        <m:sSubPr>
                          <m:ctrlPr>
                            <w:rPr>
                              <w:rFonts w:ascii="Cambria Math" w:hAnsi="Cambria Math"/>
                              <w:color w:val="0000FF"/>
                            </w:rPr>
                          </m:ctrlPr>
                        </m:sSubPr>
                        <m:e>
                          <m:r>
                            <m:rPr>
                              <m:nor/>
                            </m:rPr>
                            <w:rPr>
                              <w:color w:val="0000FF"/>
                            </w:rPr>
                            <m:t>h</m:t>
                          </m:r>
                        </m:e>
                        <m:sub>
                          <m:r>
                            <m:rPr>
                              <m:nor/>
                            </m:rPr>
                            <w:rPr>
                              <w:color w:val="0000FF"/>
                            </w:rPr>
                            <m:t>e</m:t>
                          </m:r>
                        </m:sub>
                      </m:sSub>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s</m:t>
                  </m:r>
                  <m:r>
                    <m:rPr>
                      <m:nor/>
                    </m:rPr>
                    <w:rPr>
                      <w:rFonts w:ascii="Cambria Math"/>
                      <w:color w:val="0000FF"/>
                    </w:rPr>
                    <m:t xml:space="preserve"> </m:t>
                  </m:r>
                </m:e>
              </m:d>
              <m:r>
                <m:rPr>
                  <m:nor/>
                </m:rPr>
                <w:rPr>
                  <w:rFonts w:ascii="Cambria Math"/>
                  <w:color w:val="0000FF"/>
                </w:rPr>
                <m:t xml:space="preserve"> </m:t>
              </m:r>
              <m:r>
                <m:rPr>
                  <m:nor/>
                </m:rPr>
                <w:rPr>
                  <w:rFonts w:ascii="Cambria Math" w:hAnsi="Cambria Math"/>
                  <w:color w:val="0000FF"/>
                </w:rPr>
                <m:t xml:space="preserve">+ </m:t>
              </m:r>
              <m:d>
                <m:dPr>
                  <m:begChr m:val="{"/>
                  <m:endChr m:val="}"/>
                  <m:ctrlPr>
                    <w:rPr>
                      <w:rFonts w:ascii="Cambria Math" w:hAnsi="Cambria Math"/>
                      <w:color w:val="0000FF"/>
                    </w:rPr>
                  </m:ctrlPr>
                </m:dPr>
                <m:e>
                  <m:r>
                    <w:rPr>
                      <w:rFonts w:ascii="Cambria Math" w:hAnsi="Cambria Math"/>
                      <w:color w:val="0000FF"/>
                    </w:rPr>
                    <m:t xml:space="preserve"> </m:t>
                  </m:r>
                  <m:d>
                    <m:dPr>
                      <m:begChr m:val="["/>
                      <m:endChr m:val="]"/>
                      <m:ctrlPr>
                        <w:rPr>
                          <w:rFonts w:ascii="Cambria Math" w:hAnsi="Cambria Math"/>
                          <w:color w:val="0000FF"/>
                        </w:rPr>
                      </m:ctrlPr>
                    </m:dPr>
                    <m:e>
                      <m:r>
                        <w:rPr>
                          <w:rFonts w:ascii="Cambria Math" w:hAnsi="Cambria Math"/>
                          <w:color w:val="0000FF"/>
                        </w:rPr>
                        <m:t xml:space="preserve"> </m:t>
                      </m:r>
                      <m:d>
                        <m:dPr>
                          <m:ctrlPr>
                            <w:rPr>
                              <w:rFonts w:ascii="Cambria Math" w:hAnsi="Cambria Math"/>
                              <w:color w:val="0000FF"/>
                            </w:rPr>
                          </m:ctrlPr>
                        </m:dPr>
                        <m:e>
                          <m:sSub>
                            <m:sSubPr>
                              <m:ctrlPr>
                                <w:rPr>
                                  <w:rFonts w:ascii="Cambria Math" w:hAnsi="Cambria Math"/>
                                  <w:color w:val="0000FF"/>
                                </w:rPr>
                              </m:ctrlPr>
                            </m:sSubPr>
                            <m:e>
                              <m:r>
                                <m:rPr>
                                  <m:nor/>
                                </m:rPr>
                                <w:rPr>
                                  <w:color w:val="0000FF"/>
                                </w:rPr>
                                <m:t>p</m:t>
                              </m:r>
                            </m:e>
                            <m:sub>
                              <m:r>
                                <m:rPr>
                                  <m:nor/>
                                </m:rPr>
                                <w:rPr>
                                  <w:color w:val="0000FF"/>
                                </w:rPr>
                                <m:t>e</m:t>
                              </m:r>
                            </m:sub>
                          </m:sSub>
                          <m:r>
                            <m:rPr>
                              <m:sty m:val="p"/>
                            </m:rPr>
                            <w:rPr>
                              <w:rFonts w:ascii="Cambria Math" w:hAnsi="Cambria Math"/>
                              <w:color w:val="0000FF"/>
                            </w:rPr>
                            <m:t>-</m:t>
                          </m:r>
                          <m:sSub>
                            <m:sSubPr>
                              <m:ctrlPr>
                                <w:rPr>
                                  <w:rFonts w:ascii="Cambria Math" w:hAnsi="Cambria Math"/>
                                  <w:color w:val="0000FF"/>
                                </w:rPr>
                              </m:ctrlPr>
                            </m:sSubPr>
                            <m:e>
                              <m:r>
                                <m:rPr>
                                  <m:nor/>
                                </m:rPr>
                                <w:rPr>
                                  <w:color w:val="0000FF"/>
                                </w:rPr>
                                <m:t>k</m:t>
                              </m:r>
                            </m:e>
                            <m:sub>
                              <m:r>
                                <m:rPr>
                                  <m:nor/>
                                </m:rPr>
                                <w:rPr>
                                  <w:color w:val="0000FF"/>
                                </w:rPr>
                                <m:t>e</m:t>
                              </m:r>
                            </m:sub>
                          </m:sSub>
                        </m:e>
                      </m:d>
                      <m:r>
                        <w:rPr>
                          <w:rFonts w:ascii="Cambria Math" w:hAnsi="Cambria Math"/>
                          <w:color w:val="0000FF"/>
                        </w:rPr>
                        <m:t xml:space="preserve"> + </m:t>
                      </m:r>
                      <m:d>
                        <m:dPr>
                          <m:ctrlPr>
                            <w:rPr>
                              <w:rFonts w:ascii="Cambria Math" w:hAnsi="Cambria Math"/>
                              <w:color w:val="0000FF"/>
                            </w:rPr>
                          </m:ctrlPr>
                        </m:dPr>
                        <m:e>
                          <m:sSub>
                            <m:sSubPr>
                              <m:ctrlPr>
                                <w:rPr>
                                  <w:rFonts w:ascii="Cambria Math" w:hAnsi="Cambria Math"/>
                                  <w:color w:val="0000FF"/>
                                </w:rPr>
                              </m:ctrlPr>
                            </m:sSubPr>
                            <m:e>
                              <m:r>
                                <m:rPr>
                                  <m:nor/>
                                </m:rPr>
                                <w:rPr>
                                  <w:color w:val="0000FF"/>
                                </w:rPr>
                                <m:t>q</m:t>
                              </m:r>
                            </m:e>
                            <m:sub>
                              <m:r>
                                <m:rPr>
                                  <m:nor/>
                                </m:rPr>
                                <w:rPr>
                                  <w:color w:val="0000FF"/>
                                </w:rPr>
                                <m:t>e</m:t>
                              </m:r>
                            </m:sub>
                          </m:sSub>
                          <m:r>
                            <m:rPr>
                              <m:sty m:val="p"/>
                            </m:rPr>
                            <w:rPr>
                              <w:rFonts w:ascii="Cambria Math" w:hAnsi="Cambria Math"/>
                              <w:color w:val="0000FF"/>
                            </w:rPr>
                            <m:t>-</m:t>
                          </m:r>
                          <m:sSub>
                            <m:sSubPr>
                              <m:ctrlPr>
                                <w:rPr>
                                  <w:rFonts w:ascii="Cambria Math" w:hAnsi="Cambria Math"/>
                                  <w:color w:val="0000FF"/>
                                </w:rPr>
                              </m:ctrlPr>
                            </m:sSubPr>
                            <m:e>
                              <m:r>
                                <m:rPr>
                                  <m:nor/>
                                </m:rPr>
                                <w:rPr>
                                  <w:color w:val="0000FF"/>
                                </w:rPr>
                                <m:t>h</m:t>
                              </m:r>
                            </m:e>
                            <m:sub>
                              <m:r>
                                <m:rPr>
                                  <m:nor/>
                                </m:rPr>
                                <w:rPr>
                                  <w:color w:val="0000FF"/>
                                </w:rPr>
                                <m:t>e</m:t>
                              </m:r>
                            </m:sub>
                          </m:sSub>
                        </m:e>
                      </m:d>
                      <m:r>
                        <w:rPr>
                          <w:rFonts w:ascii="Cambria Math" w:hAnsi="Cambria Math"/>
                          <w:color w:val="0000FF"/>
                        </w:rPr>
                        <m:t xml:space="preserve"> </m:t>
                      </m:r>
                    </m:e>
                  </m:d>
                  <m:r>
                    <m:rPr>
                      <m:nor/>
                    </m:rPr>
                    <w:rPr>
                      <w:rFonts w:ascii="Cambria Math"/>
                      <w:color w:val="0000FF"/>
                    </w:rPr>
                    <m:t xml:space="preserve"> </m:t>
                  </m:r>
                  <m:r>
                    <m:rPr>
                      <m:nor/>
                    </m:rPr>
                    <w:rPr>
                      <w:rFonts w:ascii="Cambria Math" w:hAnsi="Cambria Math"/>
                      <w:color w:val="0000FF"/>
                    </w:rPr>
                    <m:t>×</m:t>
                  </m:r>
                  <m:r>
                    <m:rPr>
                      <m:nor/>
                    </m:rPr>
                    <w:rPr>
                      <w:rFonts w:ascii="Cambria Math"/>
                      <w:color w:val="0000FF"/>
                    </w:rPr>
                    <m:t xml:space="preserve">  </m:t>
                  </m:r>
                  <m:r>
                    <m:rPr>
                      <m:nor/>
                    </m:rPr>
                    <w:rPr>
                      <w:color w:val="0000FF"/>
                    </w:rPr>
                    <m:t>t</m:t>
                  </m:r>
                  <m:r>
                    <m:rPr>
                      <m:nor/>
                    </m:rPr>
                    <w:rPr>
                      <w:rFonts w:ascii="Cambria Math"/>
                      <w:color w:val="0000FF"/>
                    </w:rPr>
                    <m:t xml:space="preserve"> </m:t>
                  </m:r>
                </m:e>
              </m:d>
            </m:oMath>
          </w:p>
          <w:p w:rsidR="00EF4EC1" w:rsidRPr="00E331FB" w:rsidRDefault="00EF4EC1" w:rsidP="00EF4EC1">
            <w:pPr>
              <w:pStyle w:val="Slide3"/>
              <w:rPr>
                <w:color w:val="0000FF"/>
              </w:rPr>
            </w:pPr>
            <w:r w:rsidRPr="00E331FB">
              <w:rPr>
                <w:color w:val="0000FF"/>
              </w:rPr>
              <w:t>p</w:t>
            </w:r>
            <w:r w:rsidRPr="00E331FB">
              <w:rPr>
                <w:color w:val="0000FF"/>
                <w:vertAlign w:val="subscript"/>
              </w:rPr>
              <w:t>e</w:t>
            </w:r>
            <w:r w:rsidRPr="00E331FB">
              <w:rPr>
                <w:color w:val="0000FF"/>
              </w:rPr>
              <w:tab/>
              <w:t>=</w:t>
            </w:r>
            <w:r w:rsidRPr="00E331FB">
              <w:rPr>
                <w:color w:val="0000FF"/>
              </w:rPr>
              <w:tab/>
              <w:t>employee’s adjusted individual fringe benefit amount as defined in subsection (3)</w:t>
            </w:r>
          </w:p>
          <w:p w:rsidR="00EF4EC1" w:rsidRPr="00E331FB" w:rsidRDefault="00EF4EC1" w:rsidP="00EF4EC1">
            <w:pPr>
              <w:pStyle w:val="Slide3"/>
              <w:rPr>
                <w:color w:val="0000FF"/>
              </w:rPr>
            </w:pPr>
            <w:r w:rsidRPr="00E331FB">
              <w:rPr>
                <w:color w:val="0000FF"/>
              </w:rPr>
              <w:t>k</w:t>
            </w:r>
            <w:r w:rsidRPr="00E331FB">
              <w:rPr>
                <w:color w:val="0000FF"/>
                <w:vertAlign w:val="subscript"/>
              </w:rPr>
              <w:t>e</w:t>
            </w:r>
            <w:r w:rsidRPr="00E331FB">
              <w:rPr>
                <w:color w:val="0000FF"/>
              </w:rPr>
              <w:tab/>
              <w:t>=</w:t>
            </w:r>
            <w:r w:rsidRPr="00E331FB">
              <w:rPr>
                <w:color w:val="0000FF"/>
              </w:rPr>
              <w:tab/>
              <w:t>so much of p</w:t>
            </w:r>
            <w:r w:rsidRPr="00E331FB">
              <w:rPr>
                <w:color w:val="0000FF"/>
                <w:vertAlign w:val="subscript"/>
              </w:rPr>
              <w:t>e</w:t>
            </w:r>
            <w:r w:rsidRPr="00E331FB">
              <w:rPr>
                <w:color w:val="0000FF"/>
              </w:rPr>
              <w:t xml:space="preserve"> as relates to the benefits taken into account in calculating p</w:t>
            </w:r>
            <w:r w:rsidRPr="00E331FB">
              <w:rPr>
                <w:color w:val="0000FF"/>
                <w:vertAlign w:val="subscript"/>
              </w:rPr>
              <w:t>e</w:t>
            </w:r>
            <w:r w:rsidRPr="00E331FB">
              <w:rPr>
                <w:color w:val="0000FF"/>
              </w:rPr>
              <w:t xml:space="preserve"> that are GST</w:t>
            </w:r>
            <w:r>
              <w:rPr>
                <w:color w:val="0000FF"/>
              </w:rPr>
              <w:noBreakHyphen/>
            </w:r>
            <w:r w:rsidRPr="00E331FB">
              <w:rPr>
                <w:color w:val="0000FF"/>
              </w:rPr>
              <w:t>creditable benefits under section 149A</w:t>
            </w:r>
          </w:p>
          <w:p w:rsidR="00EF4EC1" w:rsidRPr="00E331FB" w:rsidRDefault="00EF4EC1" w:rsidP="00EF4EC1">
            <w:pPr>
              <w:pStyle w:val="Slide3"/>
              <w:rPr>
                <w:color w:val="0000FF"/>
              </w:rPr>
            </w:pPr>
            <w:r w:rsidRPr="00E331FB">
              <w:rPr>
                <w:color w:val="0000FF"/>
              </w:rPr>
              <w:t>q</w:t>
            </w:r>
            <w:r w:rsidRPr="00E331FB">
              <w:rPr>
                <w:color w:val="0000FF"/>
                <w:vertAlign w:val="subscript"/>
              </w:rPr>
              <w:t>e</w:t>
            </w:r>
            <w:r w:rsidRPr="00E331FB">
              <w:rPr>
                <w:color w:val="0000FF"/>
              </w:rPr>
              <w:tab/>
              <w:t>=</w:t>
            </w:r>
            <w:r w:rsidRPr="00E331FB">
              <w:rPr>
                <w:color w:val="0000FF"/>
              </w:rPr>
              <w:tab/>
              <w:t>employee’s section 57A amount as defined in subsection (4)</w:t>
            </w:r>
          </w:p>
          <w:p w:rsidR="00EF4EC1" w:rsidRDefault="00EF4EC1" w:rsidP="00EF4EC1">
            <w:pPr>
              <w:pStyle w:val="Slide3"/>
              <w:rPr>
                <w:color w:val="0000FF"/>
              </w:rPr>
            </w:pPr>
            <w:r w:rsidRPr="00E331FB">
              <w:rPr>
                <w:color w:val="0000FF"/>
              </w:rPr>
              <w:t>h</w:t>
            </w:r>
            <w:r w:rsidRPr="00E331FB">
              <w:rPr>
                <w:color w:val="0000FF"/>
                <w:vertAlign w:val="subscript"/>
              </w:rPr>
              <w:t>e</w:t>
            </w:r>
            <w:r w:rsidRPr="00E331FB">
              <w:rPr>
                <w:color w:val="0000FF"/>
              </w:rPr>
              <w:tab/>
              <w:t>=</w:t>
            </w:r>
            <w:r w:rsidRPr="00E331FB">
              <w:rPr>
                <w:color w:val="0000FF"/>
              </w:rPr>
              <w:tab/>
              <w:t xml:space="preserve">so much of </w:t>
            </w:r>
            <w:r>
              <w:rPr>
                <w:color w:val="0000FF"/>
              </w:rPr>
              <w:t>q</w:t>
            </w:r>
            <w:r w:rsidRPr="00E331FB">
              <w:rPr>
                <w:color w:val="0000FF"/>
                <w:vertAlign w:val="subscript"/>
              </w:rPr>
              <w:t>e</w:t>
            </w:r>
            <w:r w:rsidRPr="00E331FB">
              <w:rPr>
                <w:color w:val="0000FF"/>
              </w:rPr>
              <w:t xml:space="preserve"> as relates to the benefits taken into account in calculating </w:t>
            </w:r>
            <w:r>
              <w:rPr>
                <w:color w:val="0000FF"/>
              </w:rPr>
              <w:t>q</w:t>
            </w:r>
            <w:r w:rsidRPr="00E331FB">
              <w:rPr>
                <w:color w:val="0000FF"/>
                <w:vertAlign w:val="subscript"/>
              </w:rPr>
              <w:t>e</w:t>
            </w:r>
            <w:r w:rsidRPr="00E331FB">
              <w:rPr>
                <w:color w:val="0000FF"/>
              </w:rPr>
              <w:t xml:space="preserve"> that are GST</w:t>
            </w:r>
            <w:r>
              <w:rPr>
                <w:color w:val="0000FF"/>
              </w:rPr>
              <w:noBreakHyphen/>
            </w:r>
            <w:r w:rsidRPr="00E331FB">
              <w:rPr>
                <w:color w:val="0000FF"/>
              </w:rPr>
              <w:t>credita</w:t>
            </w:r>
            <w:r>
              <w:rPr>
                <w:color w:val="0000FF"/>
              </w:rPr>
              <w:t>ble benefits under section 149A</w:t>
            </w:r>
          </w:p>
          <w:p w:rsidR="00EF4EC1" w:rsidRPr="00E331FB" w:rsidRDefault="00EF4EC1" w:rsidP="00EF4EC1">
            <w:pPr>
              <w:pStyle w:val="Slide3"/>
              <w:rPr>
                <w:color w:val="0000FF"/>
              </w:rPr>
            </w:pPr>
            <w:r w:rsidRPr="00E331FB">
              <w:rPr>
                <w:color w:val="0000FF"/>
              </w:rPr>
              <w:t>z</w:t>
            </w:r>
            <w:r w:rsidRPr="00E331FB">
              <w:rPr>
                <w:color w:val="0000FF"/>
                <w:vertAlign w:val="subscript"/>
              </w:rPr>
              <w:t>e</w:t>
            </w:r>
            <w:r w:rsidRPr="00E331FB">
              <w:rPr>
                <w:color w:val="0000FF"/>
              </w:rPr>
              <w:tab/>
              <w:t>=</w:t>
            </w:r>
            <w:r w:rsidRPr="00E331FB">
              <w:rPr>
                <w:color w:val="0000FF"/>
              </w:rPr>
              <w:tab/>
              <w:t>if employee is a hospital employee as defined in subsection (2):</w:t>
            </w:r>
          </w:p>
          <w:p w:rsidR="00EF4EC1" w:rsidRPr="00E331FB" w:rsidRDefault="00EF4EC1" w:rsidP="00EF4EC1">
            <w:pPr>
              <w:pStyle w:val="Slide4"/>
              <w:rPr>
                <w:color w:val="0000FF"/>
              </w:rPr>
            </w:pPr>
            <w:r w:rsidRPr="00E331FB">
              <w:rPr>
                <w:color w:val="0000FF"/>
              </w:rPr>
              <w:tab/>
              <w:t>if g</w:t>
            </w:r>
            <w:r w:rsidRPr="00E331FB">
              <w:rPr>
                <w:color w:val="0000FF"/>
                <w:vertAlign w:val="subscript"/>
              </w:rPr>
              <w:t>e</w:t>
            </w:r>
            <w:r w:rsidRPr="009E339B">
              <w:rPr>
                <w:color w:val="0000FF"/>
              </w:rPr>
              <w:t xml:space="preserve"> </w:t>
            </w:r>
            <w:r w:rsidRPr="00E331FB">
              <w:rPr>
                <w:color w:val="0000FF"/>
              </w:rPr>
              <w:t>≥</w:t>
            </w:r>
            <w:r>
              <w:rPr>
                <w:color w:val="0000FF"/>
              </w:rPr>
              <w:t xml:space="preserve"> </w:t>
            </w:r>
            <w:r w:rsidRPr="00E331FB">
              <w:rPr>
                <w:color w:val="0000FF"/>
              </w:rPr>
              <w:t>17</w:t>
            </w:r>
            <w:r>
              <w:rPr>
                <w:color w:val="0000FF"/>
              </w:rPr>
              <w:t> 000</w:t>
            </w:r>
            <w:r w:rsidRPr="00E331FB">
              <w:rPr>
                <w:color w:val="0000FF"/>
              </w:rPr>
              <w:t>, then z</w:t>
            </w:r>
            <w:r w:rsidRPr="00E331FB">
              <w:rPr>
                <w:color w:val="0000FF"/>
                <w:vertAlign w:val="subscript"/>
              </w:rPr>
              <w:t>e</w:t>
            </w:r>
            <w:r w:rsidRPr="009E339B">
              <w:rPr>
                <w:color w:val="0000FF"/>
              </w:rPr>
              <w:t xml:space="preserve"> </w:t>
            </w:r>
            <w:r w:rsidRPr="00E331FB">
              <w:rPr>
                <w:color w:val="0000FF"/>
              </w:rPr>
              <w:t>=</w:t>
            </w:r>
            <w:r>
              <w:rPr>
                <w:color w:val="0000FF"/>
              </w:rPr>
              <w:t xml:space="preserve"> </w:t>
            </w:r>
            <w:r w:rsidRPr="00E331FB">
              <w:rPr>
                <w:color w:val="0000FF"/>
              </w:rPr>
              <w:t>17</w:t>
            </w:r>
            <w:r>
              <w:rPr>
                <w:color w:val="0000FF"/>
              </w:rPr>
              <w:t> 000</w:t>
            </w:r>
          </w:p>
          <w:p w:rsidR="00EF4EC1" w:rsidRPr="00E331FB" w:rsidRDefault="00EF4EC1" w:rsidP="00EF4EC1">
            <w:pPr>
              <w:pStyle w:val="Slide4"/>
              <w:rPr>
                <w:color w:val="0000FF"/>
              </w:rPr>
            </w:pPr>
            <w:r w:rsidRPr="00E331FB">
              <w:rPr>
                <w:color w:val="0000FF"/>
              </w:rPr>
              <w:tab/>
              <w:t>if g</w:t>
            </w:r>
            <w:r w:rsidRPr="00E331FB">
              <w:rPr>
                <w:color w:val="0000FF"/>
                <w:vertAlign w:val="subscript"/>
              </w:rPr>
              <w:t>e</w:t>
            </w:r>
            <w:r w:rsidRPr="009E339B">
              <w:rPr>
                <w:color w:val="0000FF"/>
              </w:rPr>
              <w:t xml:space="preserve"> </w:t>
            </w:r>
            <w:r w:rsidRPr="00E331FB">
              <w:rPr>
                <w:color w:val="0000FF"/>
              </w:rPr>
              <w:t>&lt;</w:t>
            </w:r>
            <w:r>
              <w:rPr>
                <w:color w:val="0000FF"/>
              </w:rPr>
              <w:t xml:space="preserve"> </w:t>
            </w:r>
            <w:r w:rsidRPr="00E331FB">
              <w:rPr>
                <w:color w:val="0000FF"/>
              </w:rPr>
              <w:t>17</w:t>
            </w:r>
            <w:r>
              <w:rPr>
                <w:color w:val="0000FF"/>
              </w:rPr>
              <w:t> 000</w:t>
            </w:r>
            <w:r w:rsidRPr="00E331FB">
              <w:rPr>
                <w:color w:val="0000FF"/>
              </w:rPr>
              <w:t>, then z</w:t>
            </w:r>
            <w:r w:rsidRPr="00E331FB">
              <w:rPr>
                <w:color w:val="0000FF"/>
                <w:vertAlign w:val="subscript"/>
              </w:rPr>
              <w:t>e</w:t>
            </w:r>
            <w:r w:rsidRPr="009E339B">
              <w:rPr>
                <w:color w:val="0000FF"/>
              </w:rPr>
              <w:t xml:space="preserve"> </w:t>
            </w:r>
            <w:r w:rsidRPr="00E331FB">
              <w:rPr>
                <w:color w:val="0000FF"/>
              </w:rPr>
              <w:t>=</w:t>
            </w:r>
            <w:r>
              <w:rPr>
                <w:color w:val="0000FF"/>
              </w:rPr>
              <w:t xml:space="preserve"> </w:t>
            </w:r>
            <w:r w:rsidRPr="00E331FB">
              <w:rPr>
                <w:color w:val="0000FF"/>
              </w:rPr>
              <w:t>g</w:t>
            </w:r>
            <w:r w:rsidRPr="00E331FB">
              <w:rPr>
                <w:color w:val="0000FF"/>
                <w:vertAlign w:val="subscript"/>
              </w:rPr>
              <w:t>e</w:t>
            </w:r>
          </w:p>
          <w:p w:rsidR="00EF4EC1" w:rsidRPr="00E331FB" w:rsidRDefault="00EF4EC1" w:rsidP="00EF4EC1">
            <w:pPr>
              <w:pStyle w:val="Slide3"/>
              <w:rPr>
                <w:color w:val="0000FF"/>
              </w:rPr>
            </w:pPr>
            <w:r w:rsidRPr="00E331FB">
              <w:rPr>
                <w:color w:val="0000FF"/>
              </w:rPr>
              <w:tab/>
            </w:r>
            <w:r w:rsidRPr="00E331FB">
              <w:rPr>
                <w:color w:val="0000FF"/>
              </w:rPr>
              <w:tab/>
              <w:t>if employee is not a hospital employee:</w:t>
            </w:r>
          </w:p>
          <w:p w:rsidR="00EF4EC1" w:rsidRPr="00E331FB" w:rsidRDefault="00EF4EC1" w:rsidP="00EF4EC1">
            <w:pPr>
              <w:pStyle w:val="Slide4"/>
              <w:rPr>
                <w:color w:val="0000FF"/>
              </w:rPr>
            </w:pPr>
            <w:r w:rsidRPr="00E331FB">
              <w:rPr>
                <w:color w:val="0000FF"/>
              </w:rPr>
              <w:tab/>
              <w:t>if g</w:t>
            </w:r>
            <w:r w:rsidRPr="00E331FB">
              <w:rPr>
                <w:color w:val="0000FF"/>
                <w:vertAlign w:val="subscript"/>
              </w:rPr>
              <w:t>e</w:t>
            </w:r>
            <w:r w:rsidRPr="009E339B">
              <w:rPr>
                <w:color w:val="0000FF"/>
              </w:rPr>
              <w:t xml:space="preserve"> </w:t>
            </w:r>
            <w:r w:rsidRPr="00E331FB">
              <w:rPr>
                <w:color w:val="0000FF"/>
              </w:rPr>
              <w:t>≥</w:t>
            </w:r>
            <w:r w:rsidRPr="009E339B">
              <w:rPr>
                <w:color w:val="0000FF"/>
              </w:rPr>
              <w:t xml:space="preserve"> </w:t>
            </w:r>
            <w:r w:rsidRPr="00E331FB">
              <w:rPr>
                <w:color w:val="0000FF"/>
              </w:rPr>
              <w:t>30</w:t>
            </w:r>
            <w:r>
              <w:rPr>
                <w:color w:val="0000FF"/>
              </w:rPr>
              <w:t> 000</w:t>
            </w:r>
            <w:r w:rsidRPr="00E331FB">
              <w:rPr>
                <w:color w:val="0000FF"/>
              </w:rPr>
              <w:t>, then z</w:t>
            </w:r>
            <w:r w:rsidRPr="00E331FB">
              <w:rPr>
                <w:color w:val="0000FF"/>
                <w:vertAlign w:val="subscript"/>
              </w:rPr>
              <w:t>e</w:t>
            </w:r>
            <w:r w:rsidRPr="009E339B">
              <w:rPr>
                <w:color w:val="0000FF"/>
              </w:rPr>
              <w:t xml:space="preserve"> </w:t>
            </w:r>
            <w:r w:rsidRPr="00E331FB">
              <w:rPr>
                <w:color w:val="0000FF"/>
              </w:rPr>
              <w:t>=</w:t>
            </w:r>
            <w:r w:rsidRPr="009E339B">
              <w:rPr>
                <w:color w:val="0000FF"/>
              </w:rPr>
              <w:t xml:space="preserve"> </w:t>
            </w:r>
            <w:r w:rsidRPr="00E331FB">
              <w:rPr>
                <w:color w:val="0000FF"/>
              </w:rPr>
              <w:t>30</w:t>
            </w:r>
            <w:r>
              <w:rPr>
                <w:color w:val="0000FF"/>
              </w:rPr>
              <w:t> 000</w:t>
            </w:r>
          </w:p>
          <w:p w:rsidR="00EF4EC1" w:rsidRPr="00E331FB" w:rsidRDefault="00EF4EC1" w:rsidP="00EF4EC1">
            <w:pPr>
              <w:pStyle w:val="Slide4"/>
              <w:rPr>
                <w:color w:val="0000FF"/>
              </w:rPr>
            </w:pPr>
            <w:r w:rsidRPr="00E331FB">
              <w:rPr>
                <w:color w:val="0000FF"/>
              </w:rPr>
              <w:lastRenderedPageBreak/>
              <w:tab/>
              <w:t>if g</w:t>
            </w:r>
            <w:r w:rsidRPr="00E331FB">
              <w:rPr>
                <w:color w:val="0000FF"/>
                <w:vertAlign w:val="subscript"/>
              </w:rPr>
              <w:t>e</w:t>
            </w:r>
            <w:r w:rsidRPr="009E339B">
              <w:rPr>
                <w:color w:val="0000FF"/>
              </w:rPr>
              <w:t xml:space="preserve"> </w:t>
            </w:r>
            <w:r w:rsidRPr="00E331FB">
              <w:rPr>
                <w:color w:val="0000FF"/>
              </w:rPr>
              <w:t>&lt;</w:t>
            </w:r>
            <w:r w:rsidRPr="009E339B">
              <w:rPr>
                <w:color w:val="0000FF"/>
              </w:rPr>
              <w:t xml:space="preserve"> </w:t>
            </w:r>
            <w:r w:rsidRPr="00E331FB">
              <w:rPr>
                <w:color w:val="0000FF"/>
              </w:rPr>
              <w:t>30</w:t>
            </w:r>
            <w:r>
              <w:rPr>
                <w:color w:val="0000FF"/>
              </w:rPr>
              <w:t> 000</w:t>
            </w:r>
            <w:r w:rsidRPr="00E331FB">
              <w:rPr>
                <w:color w:val="0000FF"/>
              </w:rPr>
              <w:t>, then z</w:t>
            </w:r>
            <w:r w:rsidRPr="00E331FB">
              <w:rPr>
                <w:color w:val="0000FF"/>
                <w:vertAlign w:val="subscript"/>
              </w:rPr>
              <w:t>e</w:t>
            </w:r>
            <w:r w:rsidRPr="009E339B">
              <w:rPr>
                <w:color w:val="0000FF"/>
              </w:rPr>
              <w:t xml:space="preserve"> </w:t>
            </w:r>
            <w:r w:rsidRPr="00E331FB">
              <w:rPr>
                <w:color w:val="0000FF"/>
              </w:rPr>
              <w:t>=</w:t>
            </w:r>
            <w:r w:rsidRPr="009E339B">
              <w:rPr>
                <w:color w:val="0000FF"/>
              </w:rPr>
              <w:t xml:space="preserve"> </w:t>
            </w:r>
            <w:r w:rsidRPr="00E331FB">
              <w:rPr>
                <w:color w:val="0000FF"/>
              </w:rPr>
              <w:t>g</w:t>
            </w:r>
            <w:r w:rsidRPr="00E331FB">
              <w:rPr>
                <w:color w:val="0000FF"/>
                <w:vertAlign w:val="subscript"/>
              </w:rPr>
              <w:t>e</w:t>
            </w:r>
            <w:r>
              <w:rPr>
                <w:color w:val="0000FF"/>
              </w:rPr>
              <w:t>.</w:t>
            </w:r>
          </w:p>
        </w:tc>
      </w:tr>
      <w:tr w:rsidR="00EF4EC1" w:rsidRPr="00525396" w:rsidTr="00EF4EC1">
        <w:trPr>
          <w:cantSplit/>
        </w:trPr>
        <w:tc>
          <w:tcPr>
            <w:tcW w:w="8505" w:type="dxa"/>
            <w:shd w:val="clear" w:color="auto" w:fill="FFFFFF"/>
          </w:tcPr>
          <w:p w:rsidR="00EF4EC1" w:rsidRPr="00E331FB" w:rsidRDefault="00EF4EC1" w:rsidP="00EF4EC1">
            <w:pPr>
              <w:pStyle w:val="Slide2"/>
              <w:rPr>
                <w:color w:val="0000FF"/>
              </w:rPr>
            </w:pPr>
            <w:r w:rsidRPr="00E331FB">
              <w:rPr>
                <w:color w:val="0000FF"/>
              </w:rPr>
              <w:lastRenderedPageBreak/>
              <w:t>(2)</w:t>
            </w:r>
            <w:r w:rsidRPr="00E331FB">
              <w:rPr>
                <w:color w:val="0000FF"/>
              </w:rPr>
              <w:tab/>
              <w:t xml:space="preserve">An employee is a </w:t>
            </w:r>
            <w:r w:rsidRPr="00E331FB">
              <w:rPr>
                <w:b/>
                <w:bCs/>
                <w:color w:val="0000FF"/>
              </w:rPr>
              <w:t>hospital employee</w:t>
            </w:r>
            <w:r w:rsidRPr="00E331FB">
              <w:rPr>
                <w:color w:val="0000FF"/>
              </w:rPr>
              <w:t xml:space="preserve"> if:</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the employer is a government body and the duties of the employee are as described in section 57A(2)(b); or</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the employer is a public hospital; or</w:t>
            </w:r>
          </w:p>
          <w:p w:rsidR="00EF4EC1" w:rsidRPr="00E331FB" w:rsidRDefault="00EF4EC1" w:rsidP="00EF4EC1">
            <w:pPr>
              <w:pStyle w:val="Slide3"/>
              <w:tabs>
                <w:tab w:val="clear" w:pos="1021"/>
              </w:tabs>
              <w:rPr>
                <w:color w:val="0000FF"/>
              </w:rPr>
            </w:pPr>
            <w:r w:rsidRPr="00E331FB">
              <w:rPr>
                <w:color w:val="0000FF"/>
              </w:rPr>
              <w:t>(c)</w:t>
            </w:r>
            <w:r w:rsidRPr="00E331FB">
              <w:rPr>
                <w:color w:val="0000FF"/>
              </w:rPr>
              <w:tab/>
              <w:t>the employer provides public ambulance services or services that support those services and the employee is predominantly involved in connection with the provision of those services; or</w:t>
            </w:r>
          </w:p>
          <w:p w:rsidR="00EF4EC1" w:rsidRPr="00E331FB" w:rsidRDefault="00EF4EC1" w:rsidP="00EF4EC1">
            <w:pPr>
              <w:pStyle w:val="Slide3"/>
              <w:tabs>
                <w:tab w:val="clear" w:pos="1021"/>
              </w:tabs>
              <w:rPr>
                <w:color w:val="0000FF"/>
              </w:rPr>
            </w:pPr>
            <w:r w:rsidRPr="00E331FB">
              <w:rPr>
                <w:color w:val="0000FF"/>
              </w:rPr>
              <w:t>(d)</w:t>
            </w:r>
            <w:r w:rsidRPr="00E331FB">
              <w:rPr>
                <w:color w:val="0000FF"/>
              </w:rPr>
              <w:tab/>
              <w:t>the employer is a hospital described in section 57A(4).</w:t>
            </w:r>
          </w:p>
          <w:p w:rsidR="00EF4EC1" w:rsidRPr="00E331FB" w:rsidRDefault="00EF4EC1" w:rsidP="00EF4EC1">
            <w:pPr>
              <w:pStyle w:val="Slide2"/>
              <w:rPr>
                <w:color w:val="0000FF"/>
              </w:rPr>
            </w:pPr>
            <w:r w:rsidRPr="00E331FB">
              <w:rPr>
                <w:color w:val="0000FF"/>
              </w:rPr>
              <w:t>(3)</w:t>
            </w:r>
            <w:r w:rsidRPr="00E331FB">
              <w:rPr>
                <w:color w:val="0000FF"/>
              </w:rPr>
              <w:tab/>
              <w:t xml:space="preserve">An employee’s </w:t>
            </w:r>
            <w:r w:rsidRPr="00E331FB">
              <w:rPr>
                <w:b/>
                <w:bCs/>
                <w:color w:val="0000FF"/>
              </w:rPr>
              <w:t xml:space="preserve">adjusted individual fringe benefit amount </w:t>
            </w:r>
            <w:r w:rsidRPr="00E331FB">
              <w:rPr>
                <w:color w:val="0000FF"/>
              </w:rPr>
              <w:t>is the amount that would be the employee’s individual fringe benefit amount for the year of tax in respect of the employee’s employment by the employer if subsection 135Q(1) were amended:</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by omitting “or 58”; and</w:t>
            </w:r>
          </w:p>
          <w:p w:rsidR="00EF4EC1" w:rsidRPr="00E331FB" w:rsidRDefault="00EF4EC1" w:rsidP="00EF4EC1">
            <w:pPr>
              <w:pStyle w:val="Slide3"/>
              <w:tabs>
                <w:tab w:val="clear" w:pos="1021"/>
              </w:tabs>
              <w:rPr>
                <w:color w:val="0000FF"/>
              </w:rPr>
            </w:pPr>
            <w:r w:rsidRPr="00E331FB">
              <w:rPr>
                <w:color w:val="0000FF"/>
              </w:rPr>
              <w:t>(b)</w:t>
            </w:r>
            <w:r w:rsidRPr="00E331FB">
              <w:rPr>
                <w:color w:val="0000FF"/>
              </w:rPr>
              <w:tab/>
              <w:t>by omitting “one of those sections” from paragraph (b) and “those sections” from paragraph (c) and substituting in each case “that section”.</w:t>
            </w:r>
          </w:p>
          <w:p w:rsidR="00EF4EC1" w:rsidRPr="00E331FB" w:rsidRDefault="00EF4EC1" w:rsidP="00EF4EC1">
            <w:pPr>
              <w:pStyle w:val="Slide2"/>
              <w:rPr>
                <w:color w:val="0000FF"/>
              </w:rPr>
            </w:pPr>
            <w:r w:rsidRPr="00E331FB">
              <w:rPr>
                <w:color w:val="0000FF"/>
              </w:rPr>
              <w:t>(4)</w:t>
            </w:r>
            <w:r w:rsidRPr="00E331FB">
              <w:rPr>
                <w:color w:val="0000FF"/>
              </w:rPr>
              <w:tab/>
              <w:t xml:space="preserve">An employee’s </w:t>
            </w:r>
            <w:r w:rsidRPr="00E331FB">
              <w:rPr>
                <w:b/>
                <w:bCs/>
                <w:color w:val="0000FF"/>
              </w:rPr>
              <w:t xml:space="preserve">section 57A amount </w:t>
            </w:r>
            <w:r w:rsidRPr="00E331FB">
              <w:rPr>
                <w:color w:val="0000FF"/>
              </w:rPr>
              <w:t>is the employee’s share (if any) of the amounts that, if section 57A did not apply, would be the taxable values of the excluded fringe benefits for the year of tax in respect of the employee’s employment by the employer if those benefits were not excluded fringe benefits, but disregarding benefits:</w:t>
            </w:r>
          </w:p>
          <w:p w:rsidR="00EF4EC1" w:rsidRPr="00E331FB" w:rsidRDefault="00EF4EC1" w:rsidP="00EF4EC1">
            <w:pPr>
              <w:pStyle w:val="Slide3"/>
              <w:tabs>
                <w:tab w:val="clear" w:pos="1021"/>
              </w:tabs>
              <w:rPr>
                <w:color w:val="0000FF"/>
              </w:rPr>
            </w:pPr>
            <w:r w:rsidRPr="00E331FB">
              <w:rPr>
                <w:color w:val="0000FF"/>
              </w:rPr>
              <w:t>(a)</w:t>
            </w:r>
            <w:r w:rsidRPr="00E331FB">
              <w:rPr>
                <w:color w:val="0000FF"/>
              </w:rPr>
              <w:tab/>
              <w:t>that constitute the provision of meals or entertainment as defined in section 37AD (whether or not the employer made an election under section 37AA); or</w:t>
            </w:r>
          </w:p>
          <w:p w:rsidR="00EF4EC1" w:rsidRDefault="00EF4EC1" w:rsidP="00EF4EC1">
            <w:pPr>
              <w:pStyle w:val="Slide3"/>
              <w:tabs>
                <w:tab w:val="clear" w:pos="1021"/>
              </w:tabs>
              <w:rPr>
                <w:color w:val="0000FF"/>
              </w:rPr>
            </w:pPr>
            <w:r w:rsidRPr="00E331FB">
              <w:rPr>
                <w:color w:val="0000FF"/>
              </w:rPr>
              <w:t>(b)</w:t>
            </w:r>
            <w:r w:rsidRPr="00E331FB">
              <w:rPr>
                <w:color w:val="0000FF"/>
              </w:rPr>
              <w:tab/>
              <w:t>that are car parking fringe benefits; or</w:t>
            </w:r>
            <w:r>
              <w:rPr>
                <w:color w:val="0000FF"/>
              </w:rPr>
              <w:t xml:space="preserve"> </w:t>
            </w:r>
          </w:p>
          <w:p w:rsidR="00EF4EC1" w:rsidRPr="00E331FB" w:rsidRDefault="00EF4EC1" w:rsidP="00EF4EC1">
            <w:pPr>
              <w:pStyle w:val="Slide3"/>
              <w:tabs>
                <w:tab w:val="clear" w:pos="1021"/>
              </w:tabs>
              <w:rPr>
                <w:color w:val="0000FF"/>
              </w:rPr>
            </w:pPr>
            <w:r w:rsidRPr="00E331FB">
              <w:rPr>
                <w:color w:val="0000FF"/>
              </w:rPr>
              <w:t>(c)</w:t>
            </w:r>
            <w:r w:rsidRPr="00E331FB">
              <w:rPr>
                <w:color w:val="0000FF"/>
              </w:rPr>
              <w:tab/>
              <w:t>whose taxable values are wholly or partly attributable to entertainment facility leasing expenses.</w:t>
            </w:r>
          </w:p>
        </w:tc>
      </w:tr>
    </w:tbl>
    <w:p w:rsidR="00EF4EC1" w:rsidRPr="00C87EB4" w:rsidRDefault="00EF4EC1" w:rsidP="00EF4EC1">
      <w:pPr>
        <w:pStyle w:val="Heading3"/>
      </w:pPr>
      <w:bookmarkStart w:id="202" w:name="_Toc500060176"/>
      <w:bookmarkStart w:id="203" w:name="_Toc501713645"/>
      <w:bookmarkStart w:id="204" w:name="_Toc501713784"/>
      <w:bookmarkStart w:id="205" w:name="_Toc503170534"/>
      <w:bookmarkStart w:id="206" w:name="_Toc503290253"/>
      <w:bookmarkStart w:id="207" w:name="_Toc504579917"/>
      <w:r>
        <w:t>Conclusion</w:t>
      </w:r>
      <w:bookmarkEnd w:id="202"/>
      <w:bookmarkEnd w:id="203"/>
      <w:bookmarkEnd w:id="204"/>
      <w:bookmarkEnd w:id="205"/>
      <w:bookmarkEnd w:id="206"/>
      <w:bookmarkEnd w:id="207"/>
    </w:p>
    <w:p w:rsidR="00EF4EC1" w:rsidRDefault="00EF4EC1" w:rsidP="00EF4EC1">
      <w:pPr>
        <w:pStyle w:val="Normaltext1"/>
      </w:pPr>
      <w:r>
        <w:t>As legislative counsel, we</w:t>
      </w:r>
      <w:r w:rsidRPr="00B87EC6">
        <w:t xml:space="preserve"> are responsible for ensuring the clarity, precision</w:t>
      </w:r>
      <w:r>
        <w:t xml:space="preserve"> and</w:t>
      </w:r>
      <w:r w:rsidRPr="00B87EC6">
        <w:t xml:space="preserve"> usability of the legislation </w:t>
      </w:r>
      <w:r>
        <w:t xml:space="preserve">we </w:t>
      </w:r>
      <w:r w:rsidRPr="00B87EC6">
        <w:t xml:space="preserve">draft. I therefore suggest that, when faced </w:t>
      </w:r>
      <w:r>
        <w:t xml:space="preserve">with </w:t>
      </w:r>
      <w:r w:rsidRPr="00B87EC6">
        <w:t>incorporat</w:t>
      </w:r>
      <w:r>
        <w:t xml:space="preserve">ing </w:t>
      </w:r>
      <w:r w:rsidRPr="00B87EC6">
        <w:t xml:space="preserve">a </w:t>
      </w:r>
      <w:r>
        <w:t xml:space="preserve">calculation </w:t>
      </w:r>
      <w:r w:rsidRPr="00B87EC6">
        <w:t xml:space="preserve">into the law, </w:t>
      </w:r>
      <w:r>
        <w:t xml:space="preserve">we </w:t>
      </w:r>
      <w:r w:rsidRPr="00B87EC6">
        <w:t xml:space="preserve">have a professional obligation to consider whether </w:t>
      </w:r>
      <w:r>
        <w:t>mathematical notation might be the best language to use</w:t>
      </w:r>
      <w:r w:rsidRPr="00B87EC6">
        <w:t>.</w:t>
      </w:r>
      <w:r>
        <w:t xml:space="preserve"> That language was, after all, invented </w:t>
      </w:r>
      <w:r w:rsidRPr="00B87EC6">
        <w:t xml:space="preserve">precisely because ordinary language (words and sentences) was inadequate to express anything beyond simple mathematical concepts. </w:t>
      </w:r>
    </w:p>
    <w:p w:rsidR="00EF4EC1" w:rsidRDefault="00EF4EC1" w:rsidP="00EF4EC1">
      <w:pPr>
        <w:pStyle w:val="Normaltext1"/>
      </w:pPr>
      <w:r>
        <w:t xml:space="preserve">I would encourage legislative counsel to use formulae for anything other than the very simplest calculations. </w:t>
      </w:r>
    </w:p>
    <w:p w:rsidR="00EF4EC1" w:rsidRDefault="00EF4EC1" w:rsidP="00EF4EC1">
      <w:pPr>
        <w:pStyle w:val="Normaltext1"/>
      </w:pPr>
      <w:r>
        <w:lastRenderedPageBreak/>
        <w:t xml:space="preserve">If you choose to use a formula, do so with care – just as you would when writing a sentence. Consider things like units of measurement, rounding and negative values. Make sure you use variables and symbols correctly. Most importantly, when you are structuring your formula, think of the users of your legislation – what will make their life easiest? </w:t>
      </w:r>
    </w:p>
    <w:p w:rsidR="004B6F89" w:rsidRDefault="004B6F89" w:rsidP="004B6F89">
      <w:pPr>
        <w:pStyle w:val="Centredline"/>
      </w:pPr>
      <w:r w:rsidRPr="00F350C7">
        <w:t>_______</w:t>
      </w:r>
      <w:r>
        <w:t>_______________________________</w:t>
      </w:r>
    </w:p>
    <w:p w:rsidR="004B6F89" w:rsidRPr="008624C2" w:rsidRDefault="004B6F89" w:rsidP="009F407B">
      <w:pPr>
        <w:pStyle w:val="Normaltext1"/>
        <w:sectPr w:rsidR="004B6F89" w:rsidRPr="008624C2" w:rsidSect="002130F2">
          <w:headerReference w:type="default" r:id="rId26"/>
          <w:headerReference w:type="first" r:id="rId27"/>
          <w:footnotePr>
            <w:numRestart w:val="eachSect"/>
          </w:footnotePr>
          <w:pgSz w:w="12240" w:h="15840"/>
          <w:pgMar w:top="1440" w:right="1440" w:bottom="1440" w:left="1440" w:header="720" w:footer="720" w:gutter="0"/>
          <w:cols w:space="720"/>
          <w:titlePg/>
          <w:docGrid w:linePitch="360"/>
        </w:sectPr>
      </w:pPr>
    </w:p>
    <w:p w:rsidR="00185C9D" w:rsidRPr="00D137E2" w:rsidRDefault="00CC65F6" w:rsidP="00185C9D">
      <w:pPr>
        <w:pStyle w:val="Heading1"/>
      </w:pPr>
      <w:bookmarkStart w:id="208" w:name="_Toc498240552"/>
      <w:bookmarkStart w:id="209" w:name="_Toc498240808"/>
      <w:bookmarkStart w:id="210" w:name="_Toc500060177"/>
      <w:bookmarkStart w:id="211" w:name="_Toc501713646"/>
      <w:bookmarkStart w:id="212" w:name="_Toc501713785"/>
      <w:bookmarkStart w:id="213" w:name="_Toc503170535"/>
      <w:bookmarkStart w:id="214" w:name="_Toc503290254"/>
      <w:bookmarkStart w:id="215" w:name="_Toc504579918"/>
      <w:bookmarkStart w:id="216" w:name="_Toc504661148"/>
      <w:bookmarkStart w:id="217" w:name="_Toc239625820"/>
      <w:bookmarkStart w:id="218" w:name="_Toc241007448"/>
      <w:r>
        <w:lastRenderedPageBreak/>
        <w:t>Multi</w:t>
      </w:r>
      <w:r w:rsidR="00E61C0B">
        <w:t>lingual Legislative Drafting in Swiss Cantons: Burden or Blessing?</w:t>
      </w:r>
      <w:bookmarkEnd w:id="208"/>
      <w:bookmarkEnd w:id="209"/>
      <w:bookmarkEnd w:id="210"/>
      <w:bookmarkEnd w:id="211"/>
      <w:bookmarkEnd w:id="212"/>
      <w:bookmarkEnd w:id="213"/>
      <w:bookmarkEnd w:id="214"/>
      <w:bookmarkEnd w:id="215"/>
      <w:bookmarkEnd w:id="216"/>
    </w:p>
    <w:p w:rsidR="00AB02E4" w:rsidRDefault="00AB02E4" w:rsidP="00AB02E4">
      <w:pPr>
        <w:pStyle w:val="Heading1B"/>
      </w:pPr>
      <w:bookmarkStart w:id="219" w:name="_Toc498240553"/>
      <w:bookmarkStart w:id="220" w:name="_Toc498240809"/>
      <w:bookmarkStart w:id="221" w:name="_Toc498333334"/>
      <w:bookmarkStart w:id="222" w:name="_Toc500060178"/>
      <w:bookmarkStart w:id="223" w:name="_Toc501713647"/>
      <w:bookmarkStart w:id="224" w:name="_Toc501713786"/>
      <w:bookmarkStart w:id="225" w:name="_Toc503170536"/>
      <w:bookmarkStart w:id="226" w:name="_Toc503290255"/>
      <w:bookmarkStart w:id="227" w:name="_Toc504579919"/>
      <w:bookmarkStart w:id="228" w:name="_Toc504661149"/>
      <w:bookmarkStart w:id="229" w:name="_Toc498240560"/>
      <w:bookmarkStart w:id="230" w:name="_Toc498240816"/>
      <w:bookmarkStart w:id="231" w:name="_Toc424332258"/>
      <w:bookmarkStart w:id="232" w:name="_Toc425932003"/>
      <w:bookmarkStart w:id="233" w:name="_Toc449263127"/>
      <w:bookmarkStart w:id="234" w:name="_Toc425932006"/>
      <w:r>
        <w:rPr>
          <w:lang w:val="en-US"/>
        </w:rPr>
        <w:t>Felix Uhlmann</w:t>
      </w:r>
      <w:r>
        <w:rPr>
          <w:rStyle w:val="FootnoteReference"/>
          <w:lang w:val="en-US"/>
        </w:rPr>
        <w:footnoteReference w:id="2"/>
      </w:r>
      <w:r>
        <w:rPr>
          <w:lang w:val="en-US"/>
        </w:rPr>
        <w:t xml:space="preserve"> and Stefan </w:t>
      </w:r>
      <w:r>
        <w:t>Höfler</w:t>
      </w:r>
      <w:r>
        <w:rPr>
          <w:rFonts w:eastAsia="Arial"/>
          <w:i/>
          <w:iCs/>
          <w:sz w:val="20"/>
          <w:szCs w:val="20"/>
          <w:vertAlign w:val="superscript"/>
        </w:rPr>
        <w:footnoteReference w:id="3"/>
      </w:r>
      <w:bookmarkEnd w:id="219"/>
      <w:bookmarkEnd w:id="220"/>
      <w:bookmarkEnd w:id="221"/>
      <w:bookmarkEnd w:id="222"/>
      <w:bookmarkEnd w:id="223"/>
      <w:bookmarkEnd w:id="224"/>
      <w:bookmarkEnd w:id="225"/>
      <w:bookmarkEnd w:id="226"/>
      <w:bookmarkEnd w:id="227"/>
      <w:bookmarkEnd w:id="228"/>
      <w:r w:rsidRPr="00FA248F">
        <w:t xml:space="preserve"> </w:t>
      </w:r>
    </w:p>
    <w:p w:rsidR="00AB02E4" w:rsidRDefault="00AB02E4" w:rsidP="00AB02E4">
      <w:pPr>
        <w:tabs>
          <w:tab w:val="center" w:pos="1860"/>
        </w:tabs>
        <w:jc w:val="center"/>
        <w:rPr>
          <w:rFonts w:eastAsia="Arial Unicode MS"/>
        </w:rPr>
      </w:pPr>
      <w:r>
        <w:rPr>
          <w:rFonts w:eastAsia="Arial Unicode MS"/>
        </w:rPr>
        <w:br w:type="textWrapping" w:clear="all"/>
      </w:r>
      <w:r w:rsidRPr="00514335">
        <w:rPr>
          <w:rFonts w:eastAsia="Arial Unicode MS"/>
          <w:noProof/>
        </w:rPr>
        <w:drawing>
          <wp:inline distT="0" distB="0" distL="0" distR="0" wp14:anchorId="01F5DE53" wp14:editId="505ED1CB">
            <wp:extent cx="1380683"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49210" t="20362"/>
                    <a:stretch/>
                  </pic:blipFill>
                  <pic:spPr bwMode="auto">
                    <a:xfrm>
                      <a:off x="0" y="0"/>
                      <a:ext cx="1380683"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514335">
        <w:rPr>
          <w:rFonts w:eastAsia="Arial Unicode MS"/>
          <w:noProof/>
        </w:rPr>
        <w:drawing>
          <wp:inline distT="0" distB="0" distL="0" distR="0" wp14:anchorId="60A34910" wp14:editId="7336E65E">
            <wp:extent cx="2710709"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20135"/>
                    <a:stretch/>
                  </pic:blipFill>
                  <pic:spPr bwMode="auto">
                    <a:xfrm>
                      <a:off x="0" y="0"/>
                      <a:ext cx="2710709"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AB02E4" w:rsidRPr="009D566B" w:rsidRDefault="00AB02E4" w:rsidP="00AB02E4">
      <w:pPr>
        <w:pStyle w:val="Heading3"/>
      </w:pPr>
      <w:bookmarkStart w:id="235" w:name="_Toc498240554"/>
      <w:bookmarkStart w:id="236" w:name="_Toc498240810"/>
      <w:bookmarkStart w:id="237" w:name="_Toc500060179"/>
      <w:bookmarkStart w:id="238" w:name="_Toc501713648"/>
      <w:bookmarkStart w:id="239" w:name="_Toc501713787"/>
      <w:bookmarkStart w:id="240" w:name="_Toc503170537"/>
      <w:bookmarkStart w:id="241" w:name="_Toc503290256"/>
      <w:bookmarkStart w:id="242" w:name="_Toc504579920"/>
      <w:r w:rsidRPr="00EF06D4">
        <w:t>Abstract</w:t>
      </w:r>
      <w:bookmarkEnd w:id="235"/>
      <w:bookmarkEnd w:id="236"/>
      <w:bookmarkEnd w:id="237"/>
      <w:bookmarkEnd w:id="238"/>
      <w:bookmarkEnd w:id="239"/>
      <w:bookmarkEnd w:id="240"/>
      <w:bookmarkEnd w:id="241"/>
      <w:bookmarkEnd w:id="242"/>
    </w:p>
    <w:p w:rsidR="00AB02E4" w:rsidRDefault="00AB02E4" w:rsidP="00AB02E4">
      <w:pPr>
        <w:pStyle w:val="Abstract"/>
        <w:rPr>
          <w:lang w:val="en-CA"/>
        </w:rPr>
      </w:pPr>
      <w:r>
        <w:rPr>
          <w:lang w:val="en-CA"/>
        </w:rPr>
        <w:t>This article is about drafting multilingual legislative texts in three cantons of Switzerland that have German and French as their official languages and a fourth canton that has German, Italian and Romansh as its official languages. Three drafting models are variously used in these cantons: co-drafting, co-revision and co-editing. The article describes each of these models and assesses their effects both in terms of the volume (quantity) and the quality of legislation produced.</w:t>
      </w:r>
    </w:p>
    <w:p w:rsidR="001B28C9" w:rsidRDefault="001B28C9" w:rsidP="001B28C9">
      <w:pPr>
        <w:pStyle w:val="Heading3"/>
        <w:rPr>
          <w:noProof/>
        </w:rPr>
      </w:pPr>
      <w:bookmarkStart w:id="243" w:name="_Toc501713649"/>
      <w:bookmarkStart w:id="244" w:name="_Toc501713788"/>
      <w:bookmarkStart w:id="245" w:name="_Toc503170538"/>
      <w:bookmarkStart w:id="246" w:name="_Toc503290257"/>
      <w:bookmarkStart w:id="247" w:name="_Toc504579921"/>
      <w:bookmarkStart w:id="248" w:name="_Toc498240555"/>
      <w:bookmarkStart w:id="249" w:name="_Toc498240811"/>
      <w:bookmarkStart w:id="250" w:name="_Toc500060180"/>
      <w:r>
        <w:t>Table of Contents</w:t>
      </w:r>
      <w:bookmarkEnd w:id="243"/>
      <w:bookmarkEnd w:id="244"/>
      <w:bookmarkEnd w:id="245"/>
      <w:bookmarkEnd w:id="246"/>
      <w:bookmarkEnd w:id="247"/>
      <w:r>
        <w:fldChar w:fldCharType="begin"/>
      </w:r>
      <w:r>
        <w:instrText xml:space="preserve"> TOC \o "1-3" \h \z \u </w:instrText>
      </w:r>
      <w:r>
        <w:fldChar w:fldCharType="separate"/>
      </w:r>
    </w:p>
    <w:p w:rsidR="001B28C9"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1713650" w:history="1">
        <w:r w:rsidR="001B28C9" w:rsidRPr="001B28DD">
          <w:rPr>
            <w:rStyle w:val="Hyperlink"/>
          </w:rPr>
          <w:t>Introduction</w:t>
        </w:r>
        <w:r w:rsidR="001B28C9">
          <w:rPr>
            <w:webHidden/>
          </w:rPr>
          <w:tab/>
        </w:r>
        <w:r w:rsidR="001B28C9">
          <w:rPr>
            <w:webHidden/>
          </w:rPr>
          <w:fldChar w:fldCharType="begin"/>
        </w:r>
        <w:r w:rsidR="001B28C9">
          <w:rPr>
            <w:webHidden/>
          </w:rPr>
          <w:instrText xml:space="preserve"> PAGEREF _Toc501713650 \h </w:instrText>
        </w:r>
        <w:r w:rsidR="001B28C9">
          <w:rPr>
            <w:webHidden/>
          </w:rPr>
        </w:r>
        <w:r w:rsidR="001B28C9">
          <w:rPr>
            <w:webHidden/>
          </w:rPr>
          <w:fldChar w:fldCharType="separate"/>
        </w:r>
        <w:r w:rsidR="00D10211">
          <w:rPr>
            <w:webHidden/>
          </w:rPr>
          <w:t>55</w:t>
        </w:r>
        <w:r w:rsidR="001B28C9">
          <w:rPr>
            <w:webHidden/>
          </w:rPr>
          <w:fldChar w:fldCharType="end"/>
        </w:r>
      </w:hyperlink>
    </w:p>
    <w:p w:rsidR="001B28C9"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1713651" w:history="1">
        <w:r w:rsidR="001B28C9" w:rsidRPr="001B28DD">
          <w:rPr>
            <w:rStyle w:val="Hyperlink"/>
          </w:rPr>
          <w:t>Background</w:t>
        </w:r>
        <w:r w:rsidR="001B28C9">
          <w:rPr>
            <w:webHidden/>
          </w:rPr>
          <w:tab/>
        </w:r>
        <w:r w:rsidR="001B28C9">
          <w:rPr>
            <w:webHidden/>
          </w:rPr>
          <w:fldChar w:fldCharType="begin"/>
        </w:r>
        <w:r w:rsidR="001B28C9">
          <w:rPr>
            <w:webHidden/>
          </w:rPr>
          <w:instrText xml:space="preserve"> PAGEREF _Toc501713651 \h </w:instrText>
        </w:r>
        <w:r w:rsidR="001B28C9">
          <w:rPr>
            <w:webHidden/>
          </w:rPr>
        </w:r>
        <w:r w:rsidR="001B28C9">
          <w:rPr>
            <w:webHidden/>
          </w:rPr>
          <w:fldChar w:fldCharType="separate"/>
        </w:r>
        <w:r w:rsidR="00D10211">
          <w:rPr>
            <w:webHidden/>
          </w:rPr>
          <w:t>55</w:t>
        </w:r>
        <w:r w:rsidR="001B28C9">
          <w:rPr>
            <w:webHidden/>
          </w:rPr>
          <w:fldChar w:fldCharType="end"/>
        </w:r>
      </w:hyperlink>
    </w:p>
    <w:p w:rsidR="001B28C9"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1713652" w:history="1">
        <w:r w:rsidR="001B28C9" w:rsidRPr="001B28DD">
          <w:rPr>
            <w:rStyle w:val="Hyperlink"/>
            <w:lang w:val="en-GB"/>
          </w:rPr>
          <w:t>Co-drafting, Co-revision, Co-editing</w:t>
        </w:r>
        <w:r w:rsidR="001B28C9">
          <w:rPr>
            <w:webHidden/>
          </w:rPr>
          <w:tab/>
        </w:r>
        <w:r w:rsidR="001B28C9">
          <w:rPr>
            <w:webHidden/>
          </w:rPr>
          <w:fldChar w:fldCharType="begin"/>
        </w:r>
        <w:r w:rsidR="001B28C9">
          <w:rPr>
            <w:webHidden/>
          </w:rPr>
          <w:instrText xml:space="preserve"> PAGEREF _Toc501713652 \h </w:instrText>
        </w:r>
        <w:r w:rsidR="001B28C9">
          <w:rPr>
            <w:webHidden/>
          </w:rPr>
        </w:r>
        <w:r w:rsidR="001B28C9">
          <w:rPr>
            <w:webHidden/>
          </w:rPr>
          <w:fldChar w:fldCharType="separate"/>
        </w:r>
        <w:r w:rsidR="00D10211">
          <w:rPr>
            <w:webHidden/>
          </w:rPr>
          <w:t>57</w:t>
        </w:r>
        <w:r w:rsidR="001B28C9">
          <w:rPr>
            <w:webHidden/>
          </w:rPr>
          <w:fldChar w:fldCharType="end"/>
        </w:r>
      </w:hyperlink>
    </w:p>
    <w:p w:rsidR="001B28C9"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1713653" w:history="1">
        <w:r w:rsidR="001B28C9" w:rsidRPr="001B28DD">
          <w:rPr>
            <w:rStyle w:val="Hyperlink"/>
            <w:lang w:val="en-GB"/>
          </w:rPr>
          <w:t>Qualitative Effects</w:t>
        </w:r>
        <w:r w:rsidR="001B28C9">
          <w:rPr>
            <w:webHidden/>
          </w:rPr>
          <w:tab/>
        </w:r>
        <w:r w:rsidR="001B28C9">
          <w:rPr>
            <w:webHidden/>
          </w:rPr>
          <w:fldChar w:fldCharType="begin"/>
        </w:r>
        <w:r w:rsidR="001B28C9">
          <w:rPr>
            <w:webHidden/>
          </w:rPr>
          <w:instrText xml:space="preserve"> PAGEREF _Toc501713653 \h </w:instrText>
        </w:r>
        <w:r w:rsidR="001B28C9">
          <w:rPr>
            <w:webHidden/>
          </w:rPr>
        </w:r>
        <w:r w:rsidR="001B28C9">
          <w:rPr>
            <w:webHidden/>
          </w:rPr>
          <w:fldChar w:fldCharType="separate"/>
        </w:r>
        <w:r w:rsidR="00D10211">
          <w:rPr>
            <w:webHidden/>
          </w:rPr>
          <w:t>59</w:t>
        </w:r>
        <w:r w:rsidR="001B28C9">
          <w:rPr>
            <w:webHidden/>
          </w:rPr>
          <w:fldChar w:fldCharType="end"/>
        </w:r>
      </w:hyperlink>
    </w:p>
    <w:p w:rsidR="001B28C9"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1713654" w:history="1">
        <w:r w:rsidR="001B28C9" w:rsidRPr="001B28DD">
          <w:rPr>
            <w:rStyle w:val="Hyperlink"/>
            <w:lang w:val="en-GB"/>
          </w:rPr>
          <w:t>Quantitative Effects</w:t>
        </w:r>
        <w:r w:rsidR="001B28C9">
          <w:rPr>
            <w:webHidden/>
          </w:rPr>
          <w:tab/>
        </w:r>
        <w:r w:rsidR="001B28C9">
          <w:rPr>
            <w:webHidden/>
          </w:rPr>
          <w:fldChar w:fldCharType="begin"/>
        </w:r>
        <w:r w:rsidR="001B28C9">
          <w:rPr>
            <w:webHidden/>
          </w:rPr>
          <w:instrText xml:space="preserve"> PAGEREF _Toc501713654 \h </w:instrText>
        </w:r>
        <w:r w:rsidR="001B28C9">
          <w:rPr>
            <w:webHidden/>
          </w:rPr>
        </w:r>
        <w:r w:rsidR="001B28C9">
          <w:rPr>
            <w:webHidden/>
          </w:rPr>
          <w:fldChar w:fldCharType="separate"/>
        </w:r>
        <w:r w:rsidR="00D10211">
          <w:rPr>
            <w:webHidden/>
          </w:rPr>
          <w:t>60</w:t>
        </w:r>
        <w:r w:rsidR="001B28C9">
          <w:rPr>
            <w:webHidden/>
          </w:rPr>
          <w:fldChar w:fldCharType="end"/>
        </w:r>
      </w:hyperlink>
    </w:p>
    <w:p w:rsidR="00B16B39" w:rsidRPr="00B16B39" w:rsidRDefault="001B28C9" w:rsidP="001B28C9">
      <w:pPr>
        <w:pStyle w:val="Normaltext1"/>
      </w:pPr>
      <w:r>
        <w:fldChar w:fldCharType="end"/>
      </w:r>
    </w:p>
    <w:p w:rsidR="00AB02E4" w:rsidRPr="00CE0316" w:rsidRDefault="00AB02E4" w:rsidP="00AB02E4">
      <w:pPr>
        <w:pStyle w:val="Heading3"/>
      </w:pPr>
      <w:bookmarkStart w:id="251" w:name="_Toc501713650"/>
      <w:bookmarkStart w:id="252" w:name="_Toc501713789"/>
      <w:bookmarkStart w:id="253" w:name="_Toc503170539"/>
      <w:bookmarkStart w:id="254" w:name="_Toc503290258"/>
      <w:bookmarkStart w:id="255" w:name="_Toc504579922"/>
      <w:r>
        <w:lastRenderedPageBreak/>
        <w:t>Introduction</w:t>
      </w:r>
      <w:bookmarkEnd w:id="248"/>
      <w:bookmarkEnd w:id="249"/>
      <w:bookmarkEnd w:id="250"/>
      <w:bookmarkEnd w:id="251"/>
      <w:bookmarkEnd w:id="252"/>
      <w:bookmarkEnd w:id="253"/>
      <w:bookmarkEnd w:id="254"/>
      <w:bookmarkEnd w:id="255"/>
    </w:p>
    <w:p w:rsidR="00AB02E4" w:rsidRPr="00B765D8" w:rsidRDefault="00AB02E4" w:rsidP="00AB02E4">
      <w:pPr>
        <w:pStyle w:val="Normaltext1"/>
      </w:pPr>
      <w:r w:rsidRPr="00B765D8">
        <w:t>It is quite well known that, on the federal (national) level, Switzerland has three official languages: German, French and Italian</w:t>
      </w:r>
      <w:r>
        <w:t>.</w:t>
      </w:r>
      <w:r>
        <w:rPr>
          <w:rStyle w:val="FootnoteReference"/>
        </w:rPr>
        <w:footnoteReference w:id="4"/>
      </w:r>
      <w:r w:rsidRPr="00B765D8">
        <w:t xml:space="preserve"> A fo</w:t>
      </w:r>
      <w:r>
        <w:t>u</w:t>
      </w:r>
      <w:r w:rsidRPr="00B765D8">
        <w:t>rth language, Romansh, is considered a national language but does not have the status of an official language</w:t>
      </w:r>
      <w:r>
        <w:t>.</w:t>
      </w:r>
      <w:r>
        <w:rPr>
          <w:rStyle w:val="FootnoteReference"/>
        </w:rPr>
        <w:footnoteReference w:id="5"/>
      </w:r>
      <w:r w:rsidRPr="00B765D8">
        <w:t xml:space="preserve"> All three languages are equally authentic</w:t>
      </w:r>
      <w:r>
        <w:t>:</w:t>
      </w:r>
      <w:r w:rsidRPr="00B765D8">
        <w:t xml:space="preserve"> all legislation is produced in German, French and Italian and each language version of a legislative text has the same legal force</w:t>
      </w:r>
      <w:r>
        <w:t>.</w:t>
      </w:r>
      <w:r>
        <w:rPr>
          <w:rStyle w:val="FootnoteReference"/>
        </w:rPr>
        <w:footnoteReference w:id="6"/>
      </w:r>
      <w:r w:rsidRPr="00B765D8">
        <w:t xml:space="preserve"> What is less commonly known is that multilingual legal systems also exist on the cantonal (state) level: three cantons (Berne, Fribourg, Valais) use German and French as official languages and one canton (Grisons) uses German, Italian </w:t>
      </w:r>
      <w:r>
        <w:t>and</w:t>
      </w:r>
      <w:r w:rsidRPr="00B765D8">
        <w:t xml:space="preserve"> Romansh</w:t>
      </w:r>
      <w:r>
        <w:t>.</w:t>
      </w:r>
      <w:r>
        <w:rPr>
          <w:rStyle w:val="FootnoteReference"/>
        </w:rPr>
        <w:footnoteReference w:id="7"/>
      </w:r>
    </w:p>
    <w:p w:rsidR="00AB02E4" w:rsidRPr="00B765D8" w:rsidRDefault="00AB02E4" w:rsidP="00AB02E4">
      <w:pPr>
        <w:pStyle w:val="Normaltext1"/>
      </w:pPr>
      <w:r w:rsidRPr="00B765D8">
        <w:t>The models of legislative drafting employed in multilingual systems may be distinguished by the stage at which the second (and third) language comes into play: It may happen at the stages of conceptualization and composition (co-drafting), during the revision of the texts (co-revision) or only for the final editing (co-editing).</w:t>
      </w:r>
    </w:p>
    <w:p w:rsidR="00AB02E4" w:rsidRPr="00B765D8" w:rsidRDefault="00AB02E4" w:rsidP="00AB02E4">
      <w:pPr>
        <w:pStyle w:val="Normaltext1"/>
      </w:pPr>
      <w:r w:rsidRPr="00B765D8">
        <w:t xml:space="preserve">This paper will discuss the different models implemented by the Swiss </w:t>
      </w:r>
      <w:r>
        <w:t>C</w:t>
      </w:r>
      <w:r w:rsidRPr="00B765D8">
        <w:t xml:space="preserve">onfederation and in the aforementioned cantons, identify their advantages and shortcomings and compare them to legislative drafting in cantons with only one official language. It will explore the impact of multilingualism on the </w:t>
      </w:r>
      <w:r>
        <w:t xml:space="preserve">quality and the </w:t>
      </w:r>
      <w:r w:rsidRPr="00B765D8">
        <w:t>amount of legislation.</w:t>
      </w:r>
    </w:p>
    <w:p w:rsidR="00AB02E4" w:rsidRPr="00B765D8" w:rsidRDefault="00AB02E4" w:rsidP="00AB02E4">
      <w:pPr>
        <w:pStyle w:val="Heading3"/>
        <w:rPr>
          <w:lang w:val="en-GB"/>
        </w:rPr>
      </w:pPr>
      <w:bookmarkStart w:id="256" w:name="_Toc498240556"/>
      <w:bookmarkStart w:id="257" w:name="_Toc498240812"/>
      <w:bookmarkStart w:id="258" w:name="_Toc500060181"/>
      <w:bookmarkStart w:id="259" w:name="_Toc501713651"/>
      <w:bookmarkStart w:id="260" w:name="_Toc501713790"/>
      <w:bookmarkStart w:id="261" w:name="_Toc503170540"/>
      <w:bookmarkStart w:id="262" w:name="_Toc503290259"/>
      <w:bookmarkStart w:id="263" w:name="_Toc504579923"/>
      <w:r w:rsidRPr="00CC65F6">
        <w:t>Background</w:t>
      </w:r>
      <w:bookmarkEnd w:id="256"/>
      <w:bookmarkEnd w:id="257"/>
      <w:bookmarkEnd w:id="258"/>
      <w:bookmarkEnd w:id="259"/>
      <w:bookmarkEnd w:id="260"/>
      <w:bookmarkEnd w:id="261"/>
      <w:bookmarkEnd w:id="262"/>
      <w:bookmarkEnd w:id="263"/>
    </w:p>
    <w:p w:rsidR="00AB02E4" w:rsidRPr="00394AE6" w:rsidRDefault="00AB02E4" w:rsidP="00AB02E4">
      <w:pPr>
        <w:pStyle w:val="Normaltext1"/>
      </w:pPr>
      <w:r w:rsidRPr="00B765D8">
        <w:t>One should start out with some statistical background. Switzerland is small, and the cantons (states) of Switzerland are obviously even smaller. Switzerland has roughly 8.5 million inhabitants</w:t>
      </w:r>
      <w:r>
        <w:t>;</w:t>
      </w:r>
      <w:r w:rsidRPr="00B765D8">
        <w:t xml:space="preserve"> the cantons with more than one official language </w:t>
      </w:r>
      <w:r>
        <w:t xml:space="preserve">have </w:t>
      </w:r>
      <w:r w:rsidRPr="00B765D8">
        <w:t>around one million (Berne) and around 200'000 to 300'000 (Fribourg, Grisons, Valais)</w:t>
      </w:r>
      <w:r>
        <w:t>, respectively</w:t>
      </w:r>
      <w:r w:rsidRPr="00B765D8">
        <w:t>. German is the main language spoken in the Confederation</w:t>
      </w:r>
      <w:r>
        <w:t>;</w:t>
      </w:r>
      <w:r w:rsidRPr="00B765D8">
        <w:t xml:space="preserve"> </w:t>
      </w:r>
      <w:r>
        <w:t xml:space="preserve">it has </w:t>
      </w:r>
      <w:r w:rsidRPr="00B765D8">
        <w:t xml:space="preserve">roughly three times </w:t>
      </w:r>
      <w:r>
        <w:t xml:space="preserve">as many speakers as </w:t>
      </w:r>
      <w:r w:rsidRPr="00B765D8">
        <w:t xml:space="preserve">French and seven </w:t>
      </w:r>
      <w:r>
        <w:t>to</w:t>
      </w:r>
      <w:r w:rsidRPr="00B765D8">
        <w:t xml:space="preserve"> eight times </w:t>
      </w:r>
      <w:r>
        <w:t>as many as</w:t>
      </w:r>
      <w:r w:rsidRPr="00B765D8">
        <w:t xml:space="preserve"> Italian. </w:t>
      </w:r>
      <w:r>
        <w:t xml:space="preserve">In the cantons of Berne and Grisons, German is even more dominant (compared to French in Berne and to Romansh and Italian in Grisons). In the remaining two multilingual cantons (Fribourg and Valais), French is the </w:t>
      </w:r>
      <w:r>
        <w:lastRenderedPageBreak/>
        <w:t>dominant language: it is spoken by approximately twice as many inhabitants as German (cf. Fig. 1).</w:t>
      </w:r>
    </w:p>
    <w:tbl>
      <w:tblPr>
        <w:tblStyle w:val="TableGrid"/>
        <w:tblW w:w="0" w:type="auto"/>
        <w:tblInd w:w="607" w:type="dxa"/>
        <w:tblLook w:val="04A0" w:firstRow="1" w:lastRow="0" w:firstColumn="1" w:lastColumn="0" w:noHBand="0" w:noVBand="1"/>
      </w:tblPr>
      <w:tblGrid>
        <w:gridCol w:w="1393"/>
        <w:gridCol w:w="1393"/>
        <w:gridCol w:w="1394"/>
        <w:gridCol w:w="1394"/>
        <w:gridCol w:w="1394"/>
        <w:gridCol w:w="1394"/>
      </w:tblGrid>
      <w:tr w:rsidR="00AB02E4" w:rsidRPr="00F109A1" w:rsidTr="00EF4EC1">
        <w:tc>
          <w:tcPr>
            <w:tcW w:w="1393" w:type="dxa"/>
          </w:tcPr>
          <w:p w:rsidR="00AB02E4" w:rsidRPr="00B765D8" w:rsidRDefault="00AB02E4" w:rsidP="00EF4EC1">
            <w:pPr>
              <w:rPr>
                <w:lang w:val="en-GB"/>
              </w:rPr>
            </w:pPr>
          </w:p>
        </w:tc>
        <w:tc>
          <w:tcPr>
            <w:tcW w:w="1393" w:type="dxa"/>
          </w:tcPr>
          <w:p w:rsidR="00AB02E4" w:rsidRPr="00B765D8" w:rsidRDefault="00AB02E4" w:rsidP="00EF4EC1">
            <w:pPr>
              <w:rPr>
                <w:lang w:val="en-GB"/>
              </w:rPr>
            </w:pPr>
            <w:r w:rsidRPr="00B765D8">
              <w:rPr>
                <w:lang w:val="en-GB"/>
              </w:rPr>
              <w:t>Total</w:t>
            </w:r>
          </w:p>
        </w:tc>
        <w:tc>
          <w:tcPr>
            <w:tcW w:w="1394" w:type="dxa"/>
          </w:tcPr>
          <w:p w:rsidR="00AB02E4" w:rsidRPr="00B765D8" w:rsidRDefault="00AB02E4" w:rsidP="00EF4EC1">
            <w:pPr>
              <w:rPr>
                <w:lang w:val="en-GB"/>
              </w:rPr>
            </w:pPr>
            <w:r w:rsidRPr="00B765D8">
              <w:rPr>
                <w:lang w:val="en-GB"/>
              </w:rPr>
              <w:t>German</w:t>
            </w:r>
          </w:p>
        </w:tc>
        <w:tc>
          <w:tcPr>
            <w:tcW w:w="1394" w:type="dxa"/>
          </w:tcPr>
          <w:p w:rsidR="00AB02E4" w:rsidRPr="00B765D8" w:rsidRDefault="00AB02E4" w:rsidP="00EF4EC1">
            <w:pPr>
              <w:rPr>
                <w:lang w:val="en-GB"/>
              </w:rPr>
            </w:pPr>
            <w:r w:rsidRPr="00B765D8">
              <w:rPr>
                <w:lang w:val="en-GB"/>
              </w:rPr>
              <w:t>French</w:t>
            </w:r>
          </w:p>
        </w:tc>
        <w:tc>
          <w:tcPr>
            <w:tcW w:w="1394" w:type="dxa"/>
          </w:tcPr>
          <w:p w:rsidR="00AB02E4" w:rsidRPr="00B765D8" w:rsidRDefault="00AB02E4" w:rsidP="00EF4EC1">
            <w:pPr>
              <w:rPr>
                <w:lang w:val="en-GB"/>
              </w:rPr>
            </w:pPr>
            <w:r w:rsidRPr="00B765D8">
              <w:rPr>
                <w:lang w:val="en-GB"/>
              </w:rPr>
              <w:t>Italian</w:t>
            </w:r>
          </w:p>
        </w:tc>
        <w:tc>
          <w:tcPr>
            <w:tcW w:w="1394" w:type="dxa"/>
          </w:tcPr>
          <w:p w:rsidR="00AB02E4" w:rsidRPr="00B765D8" w:rsidRDefault="00AB02E4" w:rsidP="00EF4EC1">
            <w:pPr>
              <w:rPr>
                <w:lang w:val="en-GB"/>
              </w:rPr>
            </w:pPr>
            <w:r w:rsidRPr="00B765D8">
              <w:rPr>
                <w:lang w:val="en-GB"/>
              </w:rPr>
              <w:t>Romansh</w:t>
            </w:r>
          </w:p>
        </w:tc>
      </w:tr>
      <w:tr w:rsidR="00AB02E4" w:rsidRPr="00F109A1" w:rsidTr="00EF4EC1">
        <w:tc>
          <w:tcPr>
            <w:tcW w:w="1393" w:type="dxa"/>
          </w:tcPr>
          <w:p w:rsidR="00AB02E4" w:rsidRPr="00B765D8" w:rsidRDefault="00AB02E4" w:rsidP="00EF4EC1">
            <w:pPr>
              <w:rPr>
                <w:lang w:val="en-GB"/>
              </w:rPr>
            </w:pPr>
            <w:r w:rsidRPr="00B765D8">
              <w:rPr>
                <w:lang w:val="en-GB"/>
              </w:rPr>
              <w:t>Switzerland</w:t>
            </w:r>
          </w:p>
        </w:tc>
        <w:tc>
          <w:tcPr>
            <w:tcW w:w="1393" w:type="dxa"/>
          </w:tcPr>
          <w:p w:rsidR="00AB02E4" w:rsidRPr="00B765D8" w:rsidRDefault="00AB02E4" w:rsidP="00EF4EC1">
            <w:pPr>
              <w:jc w:val="right"/>
              <w:rPr>
                <w:lang w:val="en-GB"/>
              </w:rPr>
            </w:pPr>
            <w:r w:rsidRPr="00B765D8">
              <w:rPr>
                <w:lang w:val="en-GB"/>
              </w:rPr>
              <w:t>6'907'818</w:t>
            </w:r>
          </w:p>
        </w:tc>
        <w:tc>
          <w:tcPr>
            <w:tcW w:w="1394" w:type="dxa"/>
          </w:tcPr>
          <w:p w:rsidR="00AB02E4" w:rsidRPr="00B765D8" w:rsidRDefault="00AB02E4" w:rsidP="00EF4EC1">
            <w:pPr>
              <w:jc w:val="right"/>
              <w:rPr>
                <w:b/>
                <w:lang w:val="en-GB"/>
              </w:rPr>
            </w:pPr>
            <w:r w:rsidRPr="00B765D8">
              <w:rPr>
                <w:b/>
                <w:lang w:val="en-GB"/>
              </w:rPr>
              <w:t>4'424'920</w:t>
            </w:r>
          </w:p>
        </w:tc>
        <w:tc>
          <w:tcPr>
            <w:tcW w:w="1394" w:type="dxa"/>
          </w:tcPr>
          <w:p w:rsidR="00AB02E4" w:rsidRPr="00B765D8" w:rsidRDefault="00AB02E4" w:rsidP="00EF4EC1">
            <w:pPr>
              <w:jc w:val="right"/>
              <w:rPr>
                <w:lang w:val="en-GB"/>
              </w:rPr>
            </w:pPr>
            <w:r w:rsidRPr="00B765D8">
              <w:rPr>
                <w:lang w:val="en-GB"/>
              </w:rPr>
              <w:t>1'567'197</w:t>
            </w:r>
          </w:p>
        </w:tc>
        <w:tc>
          <w:tcPr>
            <w:tcW w:w="1394" w:type="dxa"/>
          </w:tcPr>
          <w:p w:rsidR="00AB02E4" w:rsidRPr="00B765D8" w:rsidRDefault="00AB02E4" w:rsidP="00EF4EC1">
            <w:pPr>
              <w:jc w:val="right"/>
              <w:rPr>
                <w:lang w:val="en-GB"/>
              </w:rPr>
            </w:pPr>
            <w:r w:rsidRPr="00B765D8">
              <w:rPr>
                <w:lang w:val="en-GB"/>
              </w:rPr>
              <w:t>581'381</w:t>
            </w:r>
          </w:p>
        </w:tc>
        <w:tc>
          <w:tcPr>
            <w:tcW w:w="1394" w:type="dxa"/>
          </w:tcPr>
          <w:p w:rsidR="00AB02E4" w:rsidRPr="00B765D8" w:rsidRDefault="00AB02E4" w:rsidP="00EF4EC1">
            <w:pPr>
              <w:jc w:val="right"/>
              <w:rPr>
                <w:lang w:val="en-GB"/>
              </w:rPr>
            </w:pPr>
            <w:r w:rsidRPr="00B765D8">
              <w:rPr>
                <w:lang w:val="en-GB"/>
              </w:rPr>
              <w:t>(40'394)</w:t>
            </w:r>
          </w:p>
        </w:tc>
      </w:tr>
      <w:tr w:rsidR="00AB02E4" w:rsidRPr="00F109A1" w:rsidTr="00EF4EC1">
        <w:tc>
          <w:tcPr>
            <w:tcW w:w="1393" w:type="dxa"/>
          </w:tcPr>
          <w:p w:rsidR="00AB02E4" w:rsidRPr="00B765D8" w:rsidRDefault="00AB02E4" w:rsidP="00EF4EC1">
            <w:pPr>
              <w:rPr>
                <w:lang w:val="en-GB"/>
              </w:rPr>
            </w:pPr>
            <w:r w:rsidRPr="00B765D8">
              <w:rPr>
                <w:lang w:val="en-GB"/>
              </w:rPr>
              <w:t>Berne</w:t>
            </w:r>
          </w:p>
        </w:tc>
        <w:tc>
          <w:tcPr>
            <w:tcW w:w="1393" w:type="dxa"/>
          </w:tcPr>
          <w:p w:rsidR="00AB02E4" w:rsidRPr="00B765D8" w:rsidRDefault="00AB02E4" w:rsidP="00EF4EC1">
            <w:pPr>
              <w:jc w:val="right"/>
              <w:rPr>
                <w:lang w:val="en-GB"/>
              </w:rPr>
            </w:pPr>
            <w:r w:rsidRPr="00B765D8">
              <w:rPr>
                <w:lang w:val="en-GB"/>
              </w:rPr>
              <w:t>854'618</w:t>
            </w:r>
          </w:p>
        </w:tc>
        <w:tc>
          <w:tcPr>
            <w:tcW w:w="1394" w:type="dxa"/>
          </w:tcPr>
          <w:p w:rsidR="00AB02E4" w:rsidRPr="00B765D8" w:rsidRDefault="00AB02E4" w:rsidP="00EF4EC1">
            <w:pPr>
              <w:jc w:val="right"/>
              <w:rPr>
                <w:b/>
                <w:lang w:val="en-GB"/>
              </w:rPr>
            </w:pPr>
            <w:r w:rsidRPr="00B765D8">
              <w:rPr>
                <w:b/>
                <w:lang w:val="en-GB"/>
              </w:rPr>
              <w:t>724'055</w:t>
            </w:r>
          </w:p>
        </w:tc>
        <w:tc>
          <w:tcPr>
            <w:tcW w:w="1394" w:type="dxa"/>
          </w:tcPr>
          <w:p w:rsidR="00AB02E4" w:rsidRPr="00B765D8" w:rsidRDefault="00AB02E4" w:rsidP="00EF4EC1">
            <w:pPr>
              <w:jc w:val="right"/>
              <w:rPr>
                <w:lang w:val="en-GB"/>
              </w:rPr>
            </w:pPr>
            <w:r w:rsidRPr="00B765D8">
              <w:rPr>
                <w:lang w:val="en-GB"/>
              </w:rPr>
              <w:t>88'335</w:t>
            </w:r>
          </w:p>
        </w:tc>
        <w:tc>
          <w:tcPr>
            <w:tcW w:w="1394" w:type="dxa"/>
          </w:tcPr>
          <w:p w:rsidR="00AB02E4" w:rsidRPr="00B765D8" w:rsidRDefault="00AB02E4" w:rsidP="00EF4EC1">
            <w:pPr>
              <w:jc w:val="right"/>
              <w:rPr>
                <w:lang w:val="en-GB"/>
              </w:rPr>
            </w:pPr>
          </w:p>
        </w:tc>
        <w:tc>
          <w:tcPr>
            <w:tcW w:w="1394" w:type="dxa"/>
          </w:tcPr>
          <w:p w:rsidR="00AB02E4" w:rsidRPr="00B765D8" w:rsidRDefault="00AB02E4" w:rsidP="00EF4EC1">
            <w:pPr>
              <w:jc w:val="right"/>
              <w:rPr>
                <w:lang w:val="en-GB"/>
              </w:rPr>
            </w:pPr>
          </w:p>
        </w:tc>
      </w:tr>
      <w:tr w:rsidR="00AB02E4" w:rsidRPr="00F109A1" w:rsidTr="00EF4EC1">
        <w:tc>
          <w:tcPr>
            <w:tcW w:w="1393" w:type="dxa"/>
          </w:tcPr>
          <w:p w:rsidR="00AB02E4" w:rsidRPr="00B765D8" w:rsidRDefault="00AB02E4" w:rsidP="00EF4EC1">
            <w:pPr>
              <w:rPr>
                <w:lang w:val="en-GB"/>
              </w:rPr>
            </w:pPr>
            <w:r w:rsidRPr="00B765D8">
              <w:rPr>
                <w:lang w:val="en-GB"/>
              </w:rPr>
              <w:t>Fribourg</w:t>
            </w:r>
          </w:p>
        </w:tc>
        <w:tc>
          <w:tcPr>
            <w:tcW w:w="1393" w:type="dxa"/>
          </w:tcPr>
          <w:p w:rsidR="00AB02E4" w:rsidRPr="00B765D8" w:rsidRDefault="00AB02E4" w:rsidP="00EF4EC1">
            <w:pPr>
              <w:jc w:val="right"/>
              <w:rPr>
                <w:lang w:val="en-GB"/>
              </w:rPr>
            </w:pPr>
            <w:r w:rsidRPr="00B765D8">
              <w:rPr>
                <w:lang w:val="en-GB"/>
              </w:rPr>
              <w:t>250'113</w:t>
            </w:r>
          </w:p>
        </w:tc>
        <w:tc>
          <w:tcPr>
            <w:tcW w:w="1394" w:type="dxa"/>
          </w:tcPr>
          <w:p w:rsidR="00AB02E4" w:rsidRPr="00B765D8" w:rsidRDefault="00AB02E4" w:rsidP="00EF4EC1">
            <w:pPr>
              <w:jc w:val="right"/>
              <w:rPr>
                <w:lang w:val="en-GB"/>
              </w:rPr>
            </w:pPr>
            <w:r w:rsidRPr="00B765D8">
              <w:rPr>
                <w:lang w:val="en-GB"/>
              </w:rPr>
              <w:t>69'583</w:t>
            </w:r>
          </w:p>
        </w:tc>
        <w:tc>
          <w:tcPr>
            <w:tcW w:w="1394" w:type="dxa"/>
          </w:tcPr>
          <w:p w:rsidR="00AB02E4" w:rsidRPr="00B765D8" w:rsidRDefault="00AB02E4" w:rsidP="00EF4EC1">
            <w:pPr>
              <w:jc w:val="right"/>
              <w:rPr>
                <w:b/>
                <w:lang w:val="en-GB"/>
              </w:rPr>
            </w:pPr>
            <w:r w:rsidRPr="00B765D8">
              <w:rPr>
                <w:b/>
                <w:lang w:val="en-GB"/>
              </w:rPr>
              <w:t>170'378</w:t>
            </w:r>
          </w:p>
        </w:tc>
        <w:tc>
          <w:tcPr>
            <w:tcW w:w="1394" w:type="dxa"/>
          </w:tcPr>
          <w:p w:rsidR="00AB02E4" w:rsidRPr="00B765D8" w:rsidRDefault="00AB02E4" w:rsidP="00EF4EC1">
            <w:pPr>
              <w:jc w:val="right"/>
              <w:rPr>
                <w:lang w:val="en-GB"/>
              </w:rPr>
            </w:pPr>
          </w:p>
        </w:tc>
        <w:tc>
          <w:tcPr>
            <w:tcW w:w="1394" w:type="dxa"/>
          </w:tcPr>
          <w:p w:rsidR="00AB02E4" w:rsidRPr="00B765D8" w:rsidRDefault="00AB02E4" w:rsidP="00EF4EC1">
            <w:pPr>
              <w:jc w:val="right"/>
              <w:rPr>
                <w:lang w:val="en-GB"/>
              </w:rPr>
            </w:pPr>
          </w:p>
        </w:tc>
      </w:tr>
      <w:tr w:rsidR="00AB02E4" w:rsidRPr="00F109A1" w:rsidTr="00EF4EC1">
        <w:tc>
          <w:tcPr>
            <w:tcW w:w="1393" w:type="dxa"/>
          </w:tcPr>
          <w:p w:rsidR="00AB02E4" w:rsidRPr="00B765D8" w:rsidRDefault="00AB02E4" w:rsidP="00EF4EC1">
            <w:pPr>
              <w:rPr>
                <w:lang w:val="en-GB"/>
              </w:rPr>
            </w:pPr>
            <w:r w:rsidRPr="00B765D8">
              <w:rPr>
                <w:lang w:val="en-GB"/>
              </w:rPr>
              <w:t>Grisons</w:t>
            </w:r>
          </w:p>
        </w:tc>
        <w:tc>
          <w:tcPr>
            <w:tcW w:w="1393" w:type="dxa"/>
          </w:tcPr>
          <w:p w:rsidR="00AB02E4" w:rsidRPr="00B765D8" w:rsidRDefault="00AB02E4" w:rsidP="00EF4EC1">
            <w:pPr>
              <w:jc w:val="right"/>
              <w:rPr>
                <w:lang w:val="en-GB"/>
              </w:rPr>
            </w:pPr>
            <w:r w:rsidRPr="00B765D8">
              <w:rPr>
                <w:lang w:val="en-GB"/>
              </w:rPr>
              <w:t>167'918</w:t>
            </w:r>
          </w:p>
        </w:tc>
        <w:tc>
          <w:tcPr>
            <w:tcW w:w="1394" w:type="dxa"/>
          </w:tcPr>
          <w:p w:rsidR="00AB02E4" w:rsidRPr="00B765D8" w:rsidRDefault="00AB02E4" w:rsidP="00EF4EC1">
            <w:pPr>
              <w:jc w:val="right"/>
              <w:rPr>
                <w:b/>
                <w:lang w:val="en-GB"/>
              </w:rPr>
            </w:pPr>
            <w:r w:rsidRPr="00B765D8">
              <w:rPr>
                <w:b/>
                <w:lang w:val="en-GB"/>
              </w:rPr>
              <w:t>125'468</w:t>
            </w:r>
          </w:p>
        </w:tc>
        <w:tc>
          <w:tcPr>
            <w:tcW w:w="1394" w:type="dxa"/>
          </w:tcPr>
          <w:p w:rsidR="00AB02E4" w:rsidRPr="00B765D8" w:rsidRDefault="00AB02E4" w:rsidP="00EF4EC1">
            <w:pPr>
              <w:jc w:val="right"/>
              <w:rPr>
                <w:lang w:val="en-GB"/>
              </w:rPr>
            </w:pPr>
          </w:p>
        </w:tc>
        <w:tc>
          <w:tcPr>
            <w:tcW w:w="1394" w:type="dxa"/>
          </w:tcPr>
          <w:p w:rsidR="00AB02E4" w:rsidRPr="00B765D8" w:rsidRDefault="00AB02E4" w:rsidP="00EF4EC1">
            <w:pPr>
              <w:jc w:val="right"/>
              <w:rPr>
                <w:lang w:val="en-GB"/>
              </w:rPr>
            </w:pPr>
            <w:r w:rsidRPr="00B765D8">
              <w:rPr>
                <w:lang w:val="en-GB"/>
              </w:rPr>
              <w:t>22'405</w:t>
            </w:r>
          </w:p>
        </w:tc>
        <w:tc>
          <w:tcPr>
            <w:tcW w:w="1394" w:type="dxa"/>
          </w:tcPr>
          <w:p w:rsidR="00AB02E4" w:rsidRPr="00B765D8" w:rsidRDefault="00AB02E4" w:rsidP="00EF4EC1">
            <w:pPr>
              <w:jc w:val="right"/>
              <w:rPr>
                <w:lang w:val="en-GB"/>
              </w:rPr>
            </w:pPr>
            <w:r w:rsidRPr="00B765D8">
              <w:rPr>
                <w:lang w:val="en-GB"/>
              </w:rPr>
              <w:t>26'702</w:t>
            </w:r>
          </w:p>
        </w:tc>
      </w:tr>
      <w:tr w:rsidR="00AB02E4" w:rsidRPr="00F109A1" w:rsidTr="00EF4EC1">
        <w:tc>
          <w:tcPr>
            <w:tcW w:w="1393" w:type="dxa"/>
          </w:tcPr>
          <w:p w:rsidR="00AB02E4" w:rsidRPr="00B765D8" w:rsidRDefault="00AB02E4" w:rsidP="00EF4EC1">
            <w:pPr>
              <w:rPr>
                <w:lang w:val="en-GB"/>
              </w:rPr>
            </w:pPr>
            <w:r w:rsidRPr="00B765D8">
              <w:rPr>
                <w:lang w:val="en-GB"/>
              </w:rPr>
              <w:t>Valais</w:t>
            </w:r>
          </w:p>
        </w:tc>
        <w:tc>
          <w:tcPr>
            <w:tcW w:w="1393" w:type="dxa"/>
          </w:tcPr>
          <w:p w:rsidR="00AB02E4" w:rsidRPr="00B765D8" w:rsidRDefault="00AB02E4" w:rsidP="00EF4EC1">
            <w:pPr>
              <w:jc w:val="right"/>
              <w:rPr>
                <w:lang w:val="en-GB"/>
              </w:rPr>
            </w:pPr>
            <w:r w:rsidRPr="00B765D8">
              <w:rPr>
                <w:lang w:val="en-GB"/>
              </w:rPr>
              <w:t>279'810</w:t>
            </w:r>
          </w:p>
        </w:tc>
        <w:tc>
          <w:tcPr>
            <w:tcW w:w="1394" w:type="dxa"/>
          </w:tcPr>
          <w:p w:rsidR="00AB02E4" w:rsidRPr="00B765D8" w:rsidRDefault="00AB02E4" w:rsidP="00EF4EC1">
            <w:pPr>
              <w:jc w:val="right"/>
              <w:rPr>
                <w:lang w:val="en-GB"/>
              </w:rPr>
            </w:pPr>
            <w:r w:rsidRPr="00B765D8">
              <w:rPr>
                <w:lang w:val="en-GB"/>
              </w:rPr>
              <w:t>71'397</w:t>
            </w:r>
          </w:p>
        </w:tc>
        <w:tc>
          <w:tcPr>
            <w:tcW w:w="1394" w:type="dxa"/>
          </w:tcPr>
          <w:p w:rsidR="00AB02E4" w:rsidRPr="00B765D8" w:rsidRDefault="00AB02E4" w:rsidP="00EF4EC1">
            <w:pPr>
              <w:jc w:val="right"/>
              <w:rPr>
                <w:b/>
                <w:lang w:val="en-GB"/>
              </w:rPr>
            </w:pPr>
            <w:r w:rsidRPr="00B765D8">
              <w:rPr>
                <w:b/>
                <w:lang w:val="en-GB"/>
              </w:rPr>
              <w:t>189'523</w:t>
            </w:r>
          </w:p>
        </w:tc>
        <w:tc>
          <w:tcPr>
            <w:tcW w:w="1394" w:type="dxa"/>
          </w:tcPr>
          <w:p w:rsidR="00AB02E4" w:rsidRPr="00B765D8" w:rsidRDefault="00AB02E4" w:rsidP="00EF4EC1">
            <w:pPr>
              <w:jc w:val="right"/>
              <w:rPr>
                <w:lang w:val="en-GB"/>
              </w:rPr>
            </w:pPr>
          </w:p>
        </w:tc>
        <w:tc>
          <w:tcPr>
            <w:tcW w:w="1394" w:type="dxa"/>
          </w:tcPr>
          <w:p w:rsidR="00AB02E4" w:rsidRPr="00B765D8" w:rsidRDefault="00AB02E4" w:rsidP="00EF4EC1">
            <w:pPr>
              <w:jc w:val="right"/>
              <w:rPr>
                <w:lang w:val="en-GB"/>
              </w:rPr>
            </w:pPr>
          </w:p>
        </w:tc>
      </w:tr>
    </w:tbl>
    <w:p w:rsidR="00AB02E4" w:rsidRPr="00B765D8" w:rsidRDefault="00AB02E4" w:rsidP="00AB02E4">
      <w:pPr>
        <w:pStyle w:val="Normaltext1"/>
      </w:pPr>
      <w:r w:rsidRPr="00B765D8">
        <w:rPr>
          <w:b/>
        </w:rPr>
        <w:t>Figure 1:</w:t>
      </w:r>
      <w:r>
        <w:t xml:space="preserve"> </w:t>
      </w:r>
      <w:r w:rsidRPr="00B765D8">
        <w:t>Inhabitants (15 years and older) and Main Languages, Federal Statistical Office, 2015</w:t>
      </w:r>
    </w:p>
    <w:p w:rsidR="00AB02E4" w:rsidRPr="00B765D8" w:rsidRDefault="00AB02E4" w:rsidP="00AB02E4">
      <w:pPr>
        <w:pStyle w:val="Normaltext1"/>
      </w:pPr>
      <w:r w:rsidRPr="00B765D8">
        <w:t xml:space="preserve">From a legal </w:t>
      </w:r>
      <w:r>
        <w:t>stand</w:t>
      </w:r>
      <w:r w:rsidRPr="00B765D8">
        <w:t xml:space="preserve">point, </w:t>
      </w:r>
      <w:r>
        <w:t xml:space="preserve">it </w:t>
      </w:r>
      <w:r w:rsidRPr="00B765D8">
        <w:t xml:space="preserve">is undisputed and usually granted by </w:t>
      </w:r>
      <w:r>
        <w:t xml:space="preserve">the </w:t>
      </w:r>
      <w:r w:rsidRPr="00B765D8">
        <w:t xml:space="preserve">respective </w:t>
      </w:r>
      <w:r>
        <w:t>c</w:t>
      </w:r>
      <w:r w:rsidRPr="00B765D8">
        <w:t>onstitution that all official languages are equal</w:t>
      </w:r>
      <w:r>
        <w:t>.</w:t>
      </w:r>
      <w:bookmarkStart w:id="264" w:name="_Ref496863464"/>
      <w:r>
        <w:rPr>
          <w:rStyle w:val="FootnoteReference"/>
        </w:rPr>
        <w:footnoteReference w:id="8"/>
      </w:r>
      <w:bookmarkEnd w:id="264"/>
      <w:r w:rsidRPr="00B765D8">
        <w:t xml:space="preserve"> Courts often turn to the second or third language in case of ambiguous wording</w:t>
      </w:r>
      <w:r>
        <w:t>.</w:t>
      </w:r>
      <w:bookmarkStart w:id="265" w:name="_Ref496863417"/>
      <w:r>
        <w:rPr>
          <w:rStyle w:val="FootnoteReference"/>
        </w:rPr>
        <w:footnoteReference w:id="9"/>
      </w:r>
      <w:bookmarkEnd w:id="265"/>
      <w:r w:rsidRPr="00B765D8">
        <w:t xml:space="preserve"> It should also be noted that the question of official languages </w:t>
      </w:r>
      <w:r>
        <w:t xml:space="preserve">in the legislative process </w:t>
      </w:r>
      <w:r w:rsidRPr="00B765D8">
        <w:t xml:space="preserve">is </w:t>
      </w:r>
      <w:r>
        <w:t>not a</w:t>
      </w:r>
      <w:r w:rsidRPr="00B765D8">
        <w:t xml:space="preserve"> politically charged</w:t>
      </w:r>
      <w:r>
        <w:t xml:space="preserve"> issue</w:t>
      </w:r>
      <w:r w:rsidRPr="00B765D8">
        <w:t xml:space="preserve">. </w:t>
      </w:r>
      <w:r>
        <w:t>While t</w:t>
      </w:r>
      <w:r w:rsidRPr="00B765D8">
        <w:t xml:space="preserve">here have been numerous decisions </w:t>
      </w:r>
      <w:r>
        <w:t>by</w:t>
      </w:r>
      <w:r w:rsidRPr="00B765D8">
        <w:t xml:space="preserve"> the Swiss Supreme Court on </w:t>
      </w:r>
      <w:r>
        <w:t xml:space="preserve">the use of </w:t>
      </w:r>
      <w:r w:rsidRPr="00B765D8">
        <w:t>languages in schools</w:t>
      </w:r>
      <w:r>
        <w:t>,</w:t>
      </w:r>
      <w:r>
        <w:rPr>
          <w:rStyle w:val="FootnoteReference"/>
        </w:rPr>
        <w:footnoteReference w:id="10"/>
      </w:r>
      <w:r w:rsidRPr="009127F2">
        <w:rPr>
          <w:lang w:val="en-US"/>
        </w:rPr>
        <w:t xml:space="preserve"> on billboards</w:t>
      </w:r>
      <w:r>
        <w:rPr>
          <w:rStyle w:val="FootnoteReference"/>
        </w:rPr>
        <w:footnoteReference w:id="11"/>
      </w:r>
      <w:r w:rsidRPr="009127F2">
        <w:rPr>
          <w:lang w:val="en-US"/>
        </w:rPr>
        <w:t xml:space="preserve"> </w:t>
      </w:r>
      <w:r w:rsidRPr="00B765D8">
        <w:t>and in corresponding to authorities</w:t>
      </w:r>
      <w:r>
        <w:t>,</w:t>
      </w:r>
      <w:r>
        <w:rPr>
          <w:rStyle w:val="FootnoteReference"/>
        </w:rPr>
        <w:footnoteReference w:id="12"/>
      </w:r>
      <w:r w:rsidRPr="00B765D8">
        <w:t xml:space="preserve"> to our knowledge</w:t>
      </w:r>
      <w:r>
        <w:t xml:space="preserve"> so far there has been no Supreme Court case that</w:t>
      </w:r>
      <w:r w:rsidRPr="00B765D8">
        <w:t xml:space="preserve"> c</w:t>
      </w:r>
      <w:r w:rsidRPr="009127F2">
        <w:rPr>
          <w:lang w:val="en-US"/>
        </w:rPr>
        <w:t>oncern</w:t>
      </w:r>
      <w:r>
        <w:rPr>
          <w:lang w:val="en-US"/>
        </w:rPr>
        <w:t>ed</w:t>
      </w:r>
      <w:r w:rsidRPr="009127F2">
        <w:rPr>
          <w:lang w:val="en-US"/>
        </w:rPr>
        <w:t xml:space="preserve"> the </w:t>
      </w:r>
      <w:r w:rsidRPr="00B765D8">
        <w:t>process of legislation.</w:t>
      </w:r>
    </w:p>
    <w:p w:rsidR="00AB02E4" w:rsidRPr="00B765D8" w:rsidRDefault="00AB02E4" w:rsidP="00AB02E4">
      <w:pPr>
        <w:pStyle w:val="Normaltext1"/>
      </w:pPr>
      <w:r w:rsidRPr="00B765D8">
        <w:t>Swiss legislation is predominantly prepared by the administration as part of the executive branch. The civil servants are not professional legislative drafters</w:t>
      </w:r>
      <w:r>
        <w:t>,</w:t>
      </w:r>
      <w:r w:rsidRPr="00B765D8">
        <w:t xml:space="preserve"> but governmental lawyers </w:t>
      </w:r>
      <w:r w:rsidRPr="00B765D8">
        <w:lastRenderedPageBreak/>
        <w:t>with some special knowledge and practice in legislative drafting</w:t>
      </w:r>
      <w:r>
        <w:t>.</w:t>
      </w:r>
      <w:r>
        <w:rPr>
          <w:rStyle w:val="FootnoteReference"/>
        </w:rPr>
        <w:footnoteReference w:id="13"/>
      </w:r>
      <w:r w:rsidRPr="00B765D8">
        <w:t xml:space="preserve"> Draft laws are transmitted to Parliament in all official languages</w:t>
      </w:r>
      <w:r>
        <w:t>,</w:t>
      </w:r>
      <w:r w:rsidRPr="00B765D8">
        <w:t xml:space="preserve"> which means that the process of translation mainly takes place </w:t>
      </w:r>
      <w:r>
        <w:t>during</w:t>
      </w:r>
      <w:r w:rsidRPr="00B765D8">
        <w:t xml:space="preserve"> the preparatory work within the administration.</w:t>
      </w:r>
    </w:p>
    <w:p w:rsidR="00AB02E4" w:rsidRPr="00B765D8" w:rsidRDefault="00AB02E4" w:rsidP="00AB02E4">
      <w:pPr>
        <w:pStyle w:val="Heading3"/>
        <w:rPr>
          <w:lang w:val="en-GB"/>
        </w:rPr>
      </w:pPr>
      <w:bookmarkStart w:id="266" w:name="_Toc498240557"/>
      <w:bookmarkStart w:id="267" w:name="_Toc498240813"/>
      <w:bookmarkStart w:id="268" w:name="_Toc500060182"/>
      <w:bookmarkStart w:id="269" w:name="_Toc501713652"/>
      <w:bookmarkStart w:id="270" w:name="_Toc501713791"/>
      <w:bookmarkStart w:id="271" w:name="_Toc503170541"/>
      <w:bookmarkStart w:id="272" w:name="_Toc503290260"/>
      <w:bookmarkStart w:id="273" w:name="_Toc504579924"/>
      <w:r w:rsidRPr="00B765D8">
        <w:rPr>
          <w:lang w:val="en-GB"/>
        </w:rPr>
        <w:t>Co-drafting, Co-revision, Co-editing</w:t>
      </w:r>
      <w:bookmarkEnd w:id="266"/>
      <w:bookmarkEnd w:id="267"/>
      <w:bookmarkEnd w:id="268"/>
      <w:bookmarkEnd w:id="269"/>
      <w:bookmarkEnd w:id="270"/>
      <w:bookmarkEnd w:id="271"/>
      <w:bookmarkEnd w:id="272"/>
      <w:bookmarkEnd w:id="273"/>
    </w:p>
    <w:p w:rsidR="00AB02E4" w:rsidRPr="00B765D8" w:rsidRDefault="00AB02E4" w:rsidP="00AB02E4">
      <w:pPr>
        <w:pStyle w:val="Normaltext1"/>
      </w:pPr>
      <w:r>
        <w:t>In the drafting of multilingual legislation, t</w:t>
      </w:r>
      <w:r w:rsidRPr="00B765D8">
        <w:t>ranslation may come into play at different stages of the process</w:t>
      </w:r>
      <w:r>
        <w:t>:</w:t>
      </w:r>
      <w:r w:rsidRPr="00B765D8">
        <w:t xml:space="preserve"> </w:t>
      </w:r>
      <w:r>
        <w:t>during the stage of</w:t>
      </w:r>
      <w:r w:rsidRPr="00B765D8">
        <w:t xml:space="preserve"> conceptualization and composition (co-drafting), during the revision of the texts (co-revision) or only for the final editing (co-editing)</w:t>
      </w:r>
      <w:r>
        <w:t>.</w:t>
      </w:r>
      <w:r w:rsidRPr="00D350D1">
        <w:rPr>
          <w:rStyle w:val="FootnoteReference"/>
        </w:rPr>
        <w:footnoteReference w:id="14"/>
      </w:r>
      <w:r w:rsidRPr="00B765D8">
        <w:t xml:space="preserve"> All three forms </w:t>
      </w:r>
      <w:r>
        <w:t xml:space="preserve">of drafting multilingual legislation </w:t>
      </w:r>
      <w:r w:rsidRPr="00B765D8">
        <w:t>are found in Switzerland</w:t>
      </w:r>
      <w:r>
        <w:t>,</w:t>
      </w:r>
      <w:r w:rsidRPr="00B765D8">
        <w:t xml:space="preserve"> although co-revision</w:t>
      </w:r>
      <w:r>
        <w:t xml:space="preserve"> is most common</w:t>
      </w:r>
      <w:r w:rsidRPr="00B765D8">
        <w:t>.</w:t>
      </w:r>
    </w:p>
    <w:p w:rsidR="00AB02E4" w:rsidRDefault="00AB02E4" w:rsidP="00AB02E4">
      <w:pPr>
        <w:pStyle w:val="Normaltext1"/>
      </w:pPr>
      <w:r w:rsidRPr="00B765D8">
        <w:rPr>
          <w:i/>
        </w:rPr>
        <w:t>Co-revision</w:t>
      </w:r>
      <w:r w:rsidRPr="00B765D8">
        <w:t xml:space="preserve"> means that the first draft is written in the working language of the individual or group responsible for this task</w:t>
      </w:r>
      <w:r>
        <w:t>, but the draft is translated into the other language(s) early so that the process of revision can be carried out for all language versions together.</w:t>
      </w:r>
      <w:bookmarkStart w:id="274" w:name="_Ref496863486"/>
      <w:r>
        <w:rPr>
          <w:rStyle w:val="FootnoteReference"/>
        </w:rPr>
        <w:footnoteReference w:id="15"/>
      </w:r>
      <w:bookmarkEnd w:id="274"/>
      <w:r w:rsidRPr="00B765D8">
        <w:t xml:space="preserve"> </w:t>
      </w:r>
    </w:p>
    <w:p w:rsidR="00AB02E4" w:rsidRPr="00B765D8" w:rsidRDefault="00AB02E4" w:rsidP="00AB02E4">
      <w:pPr>
        <w:pStyle w:val="Normaltext1"/>
      </w:pPr>
      <w:r w:rsidRPr="00906A51">
        <w:rPr>
          <w:lang w:val="en-US"/>
        </w:rPr>
        <w:t xml:space="preserve">Co-revision </w:t>
      </w:r>
      <w:r>
        <w:rPr>
          <w:lang w:val="en-US"/>
        </w:rPr>
        <w:t xml:space="preserve">allows for </w:t>
      </w:r>
      <w:r w:rsidRPr="00906A51">
        <w:rPr>
          <w:lang w:val="en-US"/>
        </w:rPr>
        <w:t xml:space="preserve">the first draft </w:t>
      </w:r>
      <w:r>
        <w:rPr>
          <w:lang w:val="en-US"/>
        </w:rPr>
        <w:t>to be</w:t>
      </w:r>
      <w:r w:rsidRPr="00906A51">
        <w:rPr>
          <w:lang w:val="en-US"/>
        </w:rPr>
        <w:t xml:space="preserve"> handed over to a specialized translator </w:t>
      </w:r>
      <w:r>
        <w:t>who</w:t>
      </w:r>
      <w:r w:rsidRPr="00B765D8">
        <w:t xml:space="preserve"> will </w:t>
      </w:r>
      <w:r>
        <w:t xml:space="preserve">then </w:t>
      </w:r>
      <w:r w:rsidRPr="00B765D8">
        <w:t xml:space="preserve">discuss any ambiguities with the </w:t>
      </w:r>
      <w:r>
        <w:t>original</w:t>
      </w:r>
      <w:r w:rsidRPr="00B765D8">
        <w:t xml:space="preserve"> drafter. The translator may be part of the drafter's administrative unit or </w:t>
      </w:r>
      <w:r>
        <w:t>belong to</w:t>
      </w:r>
      <w:r w:rsidRPr="00B765D8">
        <w:t xml:space="preserve"> a specialized unit; private entities are </w:t>
      </w:r>
      <w:r>
        <w:t xml:space="preserve">rarely </w:t>
      </w:r>
      <w:r w:rsidRPr="00B765D8">
        <w:t>used. Often, the translators have a legal background.</w:t>
      </w:r>
      <w:r>
        <w:t xml:space="preserve"> Because it happens early on in the process, translation improves the quality of drafting as it can still have an impact on the wording of the original text.</w:t>
      </w:r>
      <w:r>
        <w:rPr>
          <w:rStyle w:val="FootnoteReference"/>
        </w:rPr>
        <w:footnoteReference w:id="16"/>
      </w:r>
    </w:p>
    <w:p w:rsidR="00AB02E4" w:rsidRPr="005F6C05" w:rsidRDefault="00AB02E4" w:rsidP="00AB02E4">
      <w:pPr>
        <w:pStyle w:val="Normaltext1"/>
      </w:pPr>
      <w:r w:rsidRPr="00D350D1">
        <w:t xml:space="preserve">The process of translation may be </w:t>
      </w:r>
      <w:r>
        <w:t>followed up</w:t>
      </w:r>
      <w:r w:rsidRPr="00D350D1">
        <w:t xml:space="preserve"> </w:t>
      </w:r>
      <w:r>
        <w:t>by further</w:t>
      </w:r>
      <w:r w:rsidRPr="00D350D1">
        <w:t xml:space="preserve"> </w:t>
      </w:r>
      <w:r>
        <w:t xml:space="preserve">reviews and revisions. </w:t>
      </w:r>
      <w:r w:rsidRPr="005F6C05">
        <w:t xml:space="preserve">On the federal level, an </w:t>
      </w:r>
      <w:r>
        <w:t xml:space="preserve">Internal Drafting Committee </w:t>
      </w:r>
      <w:r w:rsidRPr="005F6C05">
        <w:t>("</w:t>
      </w:r>
      <w:r w:rsidRPr="007116F8">
        <w:rPr>
          <w:i/>
        </w:rPr>
        <w:t>Verwaltungsinterne Redaktionskommission</w:t>
      </w:r>
      <w:r w:rsidRPr="005F6C05">
        <w:t xml:space="preserve">") </w:t>
      </w:r>
      <w:r>
        <w:t xml:space="preserve">reviews and </w:t>
      </w:r>
      <w:r w:rsidRPr="005F6C05">
        <w:t xml:space="preserve">revises the original draft </w:t>
      </w:r>
      <w:r>
        <w:t>as well as its</w:t>
      </w:r>
      <w:r w:rsidRPr="005F6C05">
        <w:t xml:space="preserve"> translation in</w:t>
      </w:r>
      <w:r>
        <w:t>to</w:t>
      </w:r>
      <w:r w:rsidRPr="005F6C05">
        <w:t xml:space="preserve"> </w:t>
      </w:r>
      <w:r>
        <w:t>the other main language (</w:t>
      </w:r>
      <w:r w:rsidRPr="005F6C05">
        <w:t xml:space="preserve">German </w:t>
      </w:r>
      <w:r>
        <w:t>or</w:t>
      </w:r>
      <w:r w:rsidRPr="005F6C05">
        <w:t xml:space="preserve"> French</w:t>
      </w:r>
      <w:r>
        <w:t>)</w:t>
      </w:r>
      <w:r w:rsidRPr="005F6C05">
        <w:t xml:space="preserve">. </w:t>
      </w:r>
      <w:r>
        <w:t>For each draft, the Committee</w:t>
      </w:r>
      <w:r w:rsidRPr="005F6C05">
        <w:t xml:space="preserve"> </w:t>
      </w:r>
      <w:r>
        <w:t>will be</w:t>
      </w:r>
      <w:r w:rsidRPr="005F6C05">
        <w:t xml:space="preserve"> composed </w:t>
      </w:r>
      <w:r>
        <w:t>of</w:t>
      </w:r>
      <w:r w:rsidRPr="005F6C05">
        <w:t xml:space="preserve"> </w:t>
      </w:r>
      <w:r>
        <w:t>a</w:t>
      </w:r>
      <w:r w:rsidRPr="005F6C05">
        <w:t xml:space="preserve"> German</w:t>
      </w:r>
      <w:r>
        <w:t>-</w:t>
      </w:r>
      <w:r w:rsidRPr="005F6C05">
        <w:t xml:space="preserve">speaking and </w:t>
      </w:r>
      <w:r>
        <w:t>a</w:t>
      </w:r>
      <w:r w:rsidRPr="005F6C05">
        <w:t xml:space="preserve"> French</w:t>
      </w:r>
      <w:r>
        <w:t>-</w:t>
      </w:r>
      <w:r w:rsidRPr="005F6C05">
        <w:t xml:space="preserve">speaking </w:t>
      </w:r>
      <w:r>
        <w:t xml:space="preserve">linguist </w:t>
      </w:r>
      <w:r w:rsidRPr="005F6C05">
        <w:t xml:space="preserve">from the Federal Chancellery and </w:t>
      </w:r>
      <w:r>
        <w:t xml:space="preserve">a German-speaking and a French-speaking lawyer </w:t>
      </w:r>
      <w:r w:rsidRPr="005F6C05">
        <w:t xml:space="preserve">from the Federal Office of Justice. </w:t>
      </w:r>
      <w:r>
        <w:t>In this bilingual setting, the Committee</w:t>
      </w:r>
      <w:r w:rsidRPr="005F6C05">
        <w:t xml:space="preserve"> reviews all propos</w:t>
      </w:r>
      <w:r>
        <w:t>als</w:t>
      </w:r>
      <w:r w:rsidRPr="005F6C05">
        <w:t xml:space="preserve"> for constitutional amendments, </w:t>
      </w:r>
      <w:r>
        <w:t>acts of Parliament</w:t>
      </w:r>
      <w:r w:rsidRPr="005F6C05">
        <w:t xml:space="preserve"> and important secondary legislation. </w:t>
      </w:r>
      <w:r>
        <w:t>Its</w:t>
      </w:r>
      <w:r w:rsidRPr="005F6C05">
        <w:t xml:space="preserve"> suggestions </w:t>
      </w:r>
      <w:r>
        <w:t xml:space="preserve">for the </w:t>
      </w:r>
      <w:r>
        <w:lastRenderedPageBreak/>
        <w:t xml:space="preserve">German and the French versions of the text </w:t>
      </w:r>
      <w:r w:rsidRPr="005F6C05">
        <w:t xml:space="preserve">are drafted </w:t>
      </w:r>
      <w:r>
        <w:t>in parallel</w:t>
      </w:r>
      <w:r w:rsidRPr="005F6C05">
        <w:t xml:space="preserve"> within the commission</w:t>
      </w:r>
      <w:r>
        <w:t>, which means that from this point on, one can no longer call one of the language versions the "original" and the other the "translation".</w:t>
      </w:r>
      <w:r>
        <w:rPr>
          <w:rStyle w:val="FootnoteReference"/>
        </w:rPr>
        <w:footnoteReference w:id="17"/>
      </w:r>
    </w:p>
    <w:p w:rsidR="00AB02E4" w:rsidRPr="005F6C05" w:rsidRDefault="00AB02E4" w:rsidP="00AB02E4">
      <w:pPr>
        <w:pStyle w:val="Normaltext1"/>
      </w:pPr>
      <w:r w:rsidRPr="005F6C05">
        <w:rPr>
          <w:i/>
        </w:rPr>
        <w:t>Co-drafting</w:t>
      </w:r>
      <w:r w:rsidRPr="005F6C05">
        <w:t xml:space="preserve"> from the very start is less common </w:t>
      </w:r>
      <w:r>
        <w:t xml:space="preserve">in Switzerland, </w:t>
      </w:r>
      <w:r w:rsidRPr="005F6C05">
        <w:t xml:space="preserve">but some cantons and the </w:t>
      </w:r>
      <w:r>
        <w:t>Con</w:t>
      </w:r>
      <w:r w:rsidRPr="00091438">
        <w:rPr>
          <w:lang w:val="en-US"/>
        </w:rPr>
        <w:t>f</w:t>
      </w:r>
      <w:r w:rsidRPr="005F6C05">
        <w:t>ederation have repeatedly applied it. The canton of Berne has tested two different forms</w:t>
      </w:r>
      <w:r>
        <w:t xml:space="preserve">. In some cases, </w:t>
      </w:r>
      <w:r w:rsidRPr="005F6C05">
        <w:t xml:space="preserve">laws were </w:t>
      </w:r>
      <w:r>
        <w:t xml:space="preserve">jointly drafted </w:t>
      </w:r>
      <w:r w:rsidRPr="005F6C05">
        <w:t xml:space="preserve">in both languages </w:t>
      </w:r>
      <w:r>
        <w:t>by</w:t>
      </w:r>
      <w:r w:rsidRPr="005F6C05">
        <w:t xml:space="preserve"> a group composed of one German and one French speaking civil servant (or one bilingual civil servant) – which would be the typical form of co-drafting. In </w:t>
      </w:r>
      <w:r>
        <w:t>another</w:t>
      </w:r>
      <w:r w:rsidRPr="005F6C05">
        <w:t xml:space="preserve"> case, the revision of the cantonal constitution, two independent drafts were written in German and French, translated and then compared to each other</w:t>
      </w:r>
      <w:r>
        <w:t>.</w:t>
      </w:r>
      <w:bookmarkStart w:id="275" w:name="_Ref496864301"/>
      <w:r>
        <w:rPr>
          <w:rStyle w:val="FootnoteReference"/>
        </w:rPr>
        <w:footnoteReference w:id="18"/>
      </w:r>
      <w:bookmarkEnd w:id="275"/>
      <w:r w:rsidRPr="005F6C05">
        <w:t xml:space="preserve"> </w:t>
      </w:r>
    </w:p>
    <w:p w:rsidR="00AB02E4" w:rsidRDefault="00AB02E4" w:rsidP="00AB02E4">
      <w:pPr>
        <w:pStyle w:val="Normaltext1"/>
      </w:pPr>
      <w:r w:rsidRPr="005F6C05">
        <w:rPr>
          <w:i/>
        </w:rPr>
        <w:t>Co-editing</w:t>
      </w:r>
      <w:r w:rsidRPr="005F6C05">
        <w:t xml:space="preserve"> means that a draft is prepared in one language and </w:t>
      </w:r>
      <w:r>
        <w:t xml:space="preserve">is </w:t>
      </w:r>
      <w:r w:rsidRPr="005F6C05">
        <w:t xml:space="preserve">only translated for final editing. </w:t>
      </w:r>
      <w:r>
        <w:t>This process is found for translation into Italian (federal level)</w:t>
      </w:r>
      <w:r>
        <w:rPr>
          <w:rStyle w:val="FootnoteReference"/>
        </w:rPr>
        <w:footnoteReference w:id="19"/>
      </w:r>
      <w:r>
        <w:t xml:space="preserve"> and Italian and Romansh (Grisons)</w:t>
      </w:r>
      <w:bookmarkStart w:id="276" w:name="_Ref496863896"/>
      <w:r>
        <w:rPr>
          <w:rStyle w:val="FootnoteReference"/>
        </w:rPr>
        <w:footnoteReference w:id="20"/>
      </w:r>
      <w:bookmarkEnd w:id="276"/>
      <w:r>
        <w:t xml:space="preserve"> but otherwise, it</w:t>
      </w:r>
      <w:r w:rsidRPr="005F6C05">
        <w:t xml:space="preserve"> is not typical for Switzerland because a draft law usually must first pass an internal review by other administrative units (or at least the units concerned) and must then be published for consultation by the public. Internal and external consultation</w:t>
      </w:r>
      <w:r>
        <w:t>s</w:t>
      </w:r>
      <w:r w:rsidRPr="005F6C05">
        <w:t xml:space="preserve"> </w:t>
      </w:r>
      <w:r>
        <w:t>require</w:t>
      </w:r>
      <w:r w:rsidRPr="005F6C05">
        <w:t xml:space="preserve"> translation</w:t>
      </w:r>
      <w:r>
        <w:t>,</w:t>
      </w:r>
      <w:r w:rsidRPr="005F6C05">
        <w:t xml:space="preserve"> which means that a draft going to Parliament will have passed the translators' office already three times. This gives ample room for correction based on the feedback of translators. There are fewer safeguards in the </w:t>
      </w:r>
      <w:r>
        <w:t>p</w:t>
      </w:r>
      <w:r w:rsidRPr="005F6C05">
        <w:t>arliamentar</w:t>
      </w:r>
      <w:r>
        <w:t>y</w:t>
      </w:r>
      <w:r w:rsidRPr="005F6C05">
        <w:t xml:space="preserve"> phase</w:t>
      </w:r>
      <w:r>
        <w:t>,</w:t>
      </w:r>
      <w:r w:rsidRPr="005F6C05">
        <w:t xml:space="preserve"> but at least on the federal level the bicameral system ensures some time for proper translation (and the benefits that may come from it).</w:t>
      </w:r>
    </w:p>
    <w:p w:rsidR="00AB02E4" w:rsidRPr="00D350D1" w:rsidRDefault="00AB02E4" w:rsidP="00AB02E4">
      <w:pPr>
        <w:pStyle w:val="Normaltext1"/>
      </w:pPr>
      <w:r w:rsidRPr="00D350D1">
        <w:t xml:space="preserve">It is interesting to see that the </w:t>
      </w:r>
      <w:r>
        <w:t>majority</w:t>
      </w:r>
      <w:r w:rsidRPr="00D350D1">
        <w:t xml:space="preserve"> language tends to be overrepresented </w:t>
      </w:r>
      <w:r>
        <w:t>as the language of first drafts</w:t>
      </w:r>
      <w:r w:rsidRPr="00D350D1">
        <w:t xml:space="preserve">. In the canton of Berne, </w:t>
      </w:r>
      <w:r>
        <w:t xml:space="preserve">for instance, </w:t>
      </w:r>
      <w:r w:rsidRPr="00D350D1">
        <w:t xml:space="preserve">one would expect roughly one tenth of </w:t>
      </w:r>
      <w:r>
        <w:t>first</w:t>
      </w:r>
      <w:r w:rsidRPr="00D350D1">
        <w:t xml:space="preserve"> drafts </w:t>
      </w:r>
      <w:r>
        <w:t xml:space="preserve">to be written </w:t>
      </w:r>
      <w:r w:rsidRPr="00D350D1">
        <w:t>in French but it seems that almost 99 </w:t>
      </w:r>
      <w:r>
        <w:t>percent are</w:t>
      </w:r>
      <w:r w:rsidRPr="00D350D1">
        <w:t xml:space="preserve"> </w:t>
      </w:r>
      <w:r>
        <w:t xml:space="preserve">in fact </w:t>
      </w:r>
      <w:r w:rsidRPr="00D350D1">
        <w:t>prepared in German.</w:t>
      </w:r>
      <w:r>
        <w:rPr>
          <w:rStyle w:val="FootnoteReference"/>
        </w:rPr>
        <w:footnoteReference w:id="21"/>
      </w:r>
      <w:r w:rsidRPr="00D350D1">
        <w:t xml:space="preserve"> On the federal level, the data are less conclusive but a </w:t>
      </w:r>
      <w:r>
        <w:t>recent</w:t>
      </w:r>
      <w:r w:rsidRPr="00D350D1">
        <w:t xml:space="preserve"> study shows that less than ten percent </w:t>
      </w:r>
      <w:r>
        <w:t xml:space="preserve">of first drafts </w:t>
      </w:r>
      <w:r w:rsidRPr="000645DB">
        <w:rPr>
          <w:lang w:val="en-US"/>
        </w:rPr>
        <w:t xml:space="preserve">were </w:t>
      </w:r>
      <w:r w:rsidRPr="00B22EB4">
        <w:rPr>
          <w:lang w:val="en-US"/>
        </w:rPr>
        <w:t xml:space="preserve">written in </w:t>
      </w:r>
      <w:r w:rsidRPr="00D350D1">
        <w:t>French and none in Italian – simple proportionality would suggest</w:t>
      </w:r>
      <w:r>
        <w:t xml:space="preserve"> these numbers to be much higher</w:t>
      </w:r>
      <w:r w:rsidRPr="00D350D1">
        <w:t xml:space="preserve">. </w:t>
      </w:r>
      <w:r>
        <w:t xml:space="preserve">Yet, a substantial number </w:t>
      </w:r>
      <w:r>
        <w:lastRenderedPageBreak/>
        <w:t>of</w:t>
      </w:r>
      <w:r w:rsidRPr="00D350D1">
        <w:t xml:space="preserve"> first drafts </w:t>
      </w:r>
      <w:r>
        <w:t xml:space="preserve">were composed in </w:t>
      </w:r>
      <w:r w:rsidRPr="00D350D1">
        <w:t>more than one language (one sixth)</w:t>
      </w:r>
      <w:r>
        <w:t>,</w:t>
      </w:r>
      <w:r w:rsidRPr="00D350D1">
        <w:t xml:space="preserve"> which might lead to a more balanced result if taken into account.</w:t>
      </w:r>
      <w:r>
        <w:rPr>
          <w:rStyle w:val="FootnoteReference"/>
        </w:rPr>
        <w:footnoteReference w:id="22"/>
      </w:r>
    </w:p>
    <w:p w:rsidR="00AB02E4" w:rsidRPr="005F6C05" w:rsidRDefault="00AB02E4" w:rsidP="00AB02E4">
      <w:pPr>
        <w:pStyle w:val="Normaltext1"/>
      </w:pPr>
      <w:r w:rsidRPr="00D350D1">
        <w:t xml:space="preserve">One may assume that the dominance of the </w:t>
      </w:r>
      <w:r>
        <w:t>majority</w:t>
      </w:r>
      <w:r w:rsidRPr="00D350D1">
        <w:t xml:space="preserve"> language is explained by factors outside the sphere of drafting</w:t>
      </w:r>
      <w:r>
        <w:t>,</w:t>
      </w:r>
      <w:r w:rsidRPr="00D350D1">
        <w:t xml:space="preserve"> such as the composition of the work force of civil servants. Still, one should keep in mind that the formally equal treatment of languages in the process of co-revision may easily lead to a first draft in only one language in practice.</w:t>
      </w:r>
    </w:p>
    <w:p w:rsidR="00AB02E4" w:rsidRPr="005F6C05" w:rsidRDefault="00AB02E4" w:rsidP="00AB02E4">
      <w:pPr>
        <w:pStyle w:val="Heading3"/>
        <w:rPr>
          <w:lang w:val="en-GB"/>
        </w:rPr>
      </w:pPr>
      <w:bookmarkStart w:id="277" w:name="_Toc498240558"/>
      <w:bookmarkStart w:id="278" w:name="_Toc498240814"/>
      <w:bookmarkStart w:id="279" w:name="_Toc500060183"/>
      <w:bookmarkStart w:id="280" w:name="_Toc501713653"/>
      <w:bookmarkStart w:id="281" w:name="_Toc501713792"/>
      <w:bookmarkStart w:id="282" w:name="_Toc503170542"/>
      <w:bookmarkStart w:id="283" w:name="_Toc503290261"/>
      <w:bookmarkStart w:id="284" w:name="_Toc504579925"/>
      <w:r w:rsidRPr="005F6C05">
        <w:rPr>
          <w:lang w:val="en-GB"/>
        </w:rPr>
        <w:t>Qualit</w:t>
      </w:r>
      <w:r>
        <w:rPr>
          <w:lang w:val="en-GB"/>
        </w:rPr>
        <w:t>ative Effects</w:t>
      </w:r>
      <w:bookmarkEnd w:id="277"/>
      <w:bookmarkEnd w:id="278"/>
      <w:bookmarkEnd w:id="279"/>
      <w:bookmarkEnd w:id="280"/>
      <w:bookmarkEnd w:id="281"/>
      <w:bookmarkEnd w:id="282"/>
      <w:bookmarkEnd w:id="283"/>
      <w:bookmarkEnd w:id="284"/>
    </w:p>
    <w:p w:rsidR="00AB02E4" w:rsidRPr="005F6C05" w:rsidRDefault="00AB02E4" w:rsidP="00AB02E4">
      <w:pPr>
        <w:pStyle w:val="Normaltext1"/>
      </w:pPr>
      <w:r w:rsidRPr="005F6C05">
        <w:t>It is interesting to see that</w:t>
      </w:r>
      <w:r>
        <w:t xml:space="preserve"> the need for</w:t>
      </w:r>
      <w:r w:rsidRPr="005F6C05">
        <w:t xml:space="preserve"> translation is widely regarded as </w:t>
      </w:r>
      <w:r>
        <w:t xml:space="preserve">a </w:t>
      </w:r>
      <w:r w:rsidRPr="005F6C05">
        <w:t>benefit in Switzerland. Articles in law reviews may be somewhat biased in this point and not properly represent the burdens of the daily work with translations</w:t>
      </w:r>
      <w:r>
        <w:t>,</w:t>
      </w:r>
      <w:r w:rsidRPr="005F6C05">
        <w:t xml:space="preserve"> but it is noticeable that there is hardly any critique </w:t>
      </w:r>
      <w:r>
        <w:t>of</w:t>
      </w:r>
      <w:r w:rsidRPr="005F6C05">
        <w:t xml:space="preserve"> translation. It is safe to assume that a lot of drafting flaws are detected during translation.</w:t>
      </w:r>
    </w:p>
    <w:p w:rsidR="00AB02E4" w:rsidRPr="005F6C05" w:rsidRDefault="00AB02E4" w:rsidP="00AB02E4">
      <w:pPr>
        <w:pStyle w:val="Normaltext1"/>
      </w:pPr>
      <w:r w:rsidRPr="005F6C05">
        <w:t xml:space="preserve">One important </w:t>
      </w:r>
      <w:r>
        <w:t>prerequisite</w:t>
      </w:r>
      <w:r w:rsidRPr="005F6C05">
        <w:t xml:space="preserve"> for </w:t>
      </w:r>
      <w:r>
        <w:t xml:space="preserve">translation to have such </w:t>
      </w:r>
      <w:r w:rsidRPr="005F6C05">
        <w:t xml:space="preserve">positive effects is that there is sufficient feedback from the translators. This means not only that in case of doubt the translator should come back to the drafter but also that the drafter should read the translation to make sure that his or her draft was properly understood. </w:t>
      </w:r>
      <w:r>
        <w:t>Any mistranslation might provide important pointers to passages in the original draft that need revision: if the translator got it wrong, other readers may too. Similar d</w:t>
      </w:r>
      <w:r w:rsidRPr="005F6C05">
        <w:t xml:space="preserve">iscrepancies may also be detected during public consultation when </w:t>
      </w:r>
      <w:r>
        <w:t xml:space="preserve">it turns out that </w:t>
      </w:r>
      <w:r w:rsidRPr="005F6C05">
        <w:t>the participants have understood a governmental proposition differently</w:t>
      </w:r>
      <w:r>
        <w:t>.</w:t>
      </w:r>
      <w:r>
        <w:rPr>
          <w:rStyle w:val="FootnoteReference"/>
        </w:rPr>
        <w:footnoteReference w:id="23"/>
      </w:r>
    </w:p>
    <w:p w:rsidR="00AB02E4" w:rsidRPr="005F6C05" w:rsidRDefault="00AB02E4" w:rsidP="00AB02E4">
      <w:pPr>
        <w:pStyle w:val="Normaltext1"/>
      </w:pPr>
      <w:r>
        <w:t>However, at the federal level, this form of check and double-check</w:t>
      </w:r>
      <w:r w:rsidRPr="005F6C05">
        <w:t xml:space="preserve"> </w:t>
      </w:r>
      <w:r>
        <w:t>mainly works for the two major languages (German and French).</w:t>
      </w:r>
      <w:r w:rsidRPr="005F6C05">
        <w:t xml:space="preserve"> </w:t>
      </w:r>
      <w:r>
        <w:t>Translations</w:t>
      </w:r>
      <w:r w:rsidRPr="005F6C05">
        <w:t xml:space="preserve"> into Italian usually come very late in the process and tend to be somewhat neglected</w:t>
      </w:r>
      <w:r>
        <w:t>.</w:t>
      </w:r>
      <w:r>
        <w:rPr>
          <w:rStyle w:val="FootnoteReference"/>
        </w:rPr>
        <w:footnoteReference w:id="24"/>
      </w:r>
      <w:r w:rsidRPr="005F6C05">
        <w:t xml:space="preserve"> It is maybe telling that </w:t>
      </w:r>
      <w:r>
        <w:t>the benefit</w:t>
      </w:r>
      <w:r w:rsidRPr="005F6C05">
        <w:t xml:space="preserve"> of translations is </w:t>
      </w:r>
      <w:r>
        <w:t>generally</w:t>
      </w:r>
      <w:r w:rsidRPr="005F6C05">
        <w:t xml:space="preserve"> praised and that the only ones that have </w:t>
      </w:r>
      <w:r>
        <w:t>attracted</w:t>
      </w:r>
      <w:r w:rsidRPr="005F6C05">
        <w:t xml:space="preserve"> some concerns stem from the canton Grisons. This </w:t>
      </w:r>
      <w:r>
        <w:t xml:space="preserve">trilingual </w:t>
      </w:r>
      <w:r w:rsidRPr="005F6C05">
        <w:t xml:space="preserve">canton has </w:t>
      </w:r>
      <w:r>
        <w:t>traditionally attained</w:t>
      </w:r>
      <w:r w:rsidRPr="005F6C05">
        <w:t xml:space="preserve"> high drafting standards</w:t>
      </w:r>
      <w:r>
        <w:t xml:space="preserve"> –</w:t>
      </w:r>
      <w:r w:rsidRPr="005F6C05">
        <w:t xml:space="preserve"> but it seems that translations come very late in </w:t>
      </w:r>
      <w:r>
        <w:t>its legislative</w:t>
      </w:r>
      <w:r w:rsidRPr="005F6C05">
        <w:t xml:space="preserve"> process and </w:t>
      </w:r>
      <w:r>
        <w:t xml:space="preserve">that they </w:t>
      </w:r>
      <w:r w:rsidRPr="005F6C05">
        <w:t>pose rather a problem than a benefit</w:t>
      </w:r>
      <w:r>
        <w:t>.</w:t>
      </w:r>
      <w:r>
        <w:rPr>
          <w:rStyle w:val="FootnoteReference"/>
        </w:rPr>
        <w:footnoteReference w:id="25"/>
      </w:r>
      <w:r w:rsidRPr="005F6C05">
        <w:t xml:space="preserve"> Of course, </w:t>
      </w:r>
      <w:r>
        <w:t>to be fair, one</w:t>
      </w:r>
      <w:r w:rsidRPr="005F6C05">
        <w:t xml:space="preserve"> should also keep in mind that it is quite a burden for a small canton to translate every legal norm into two further languages, </w:t>
      </w:r>
      <w:r>
        <w:t xml:space="preserve">which, moreover, are only </w:t>
      </w:r>
      <w:r w:rsidRPr="005F6C05">
        <w:t>spoken by roughly 50</w:t>
      </w:r>
      <w:r>
        <w:t>,</w:t>
      </w:r>
      <w:r w:rsidRPr="005F6C05">
        <w:t xml:space="preserve">000 </w:t>
      </w:r>
      <w:r w:rsidRPr="004D328D">
        <w:rPr>
          <w:lang w:val="en-US"/>
        </w:rPr>
        <w:t>inhabitants (in total, not each).</w:t>
      </w:r>
    </w:p>
    <w:p w:rsidR="00AB02E4" w:rsidRDefault="00AB02E4" w:rsidP="00AB02E4">
      <w:pPr>
        <w:pStyle w:val="Normaltext1"/>
      </w:pPr>
      <w:r w:rsidRPr="005F6C05">
        <w:lastRenderedPageBreak/>
        <w:t xml:space="preserve">It may also </w:t>
      </w:r>
      <w:r>
        <w:t xml:space="preserve">be </w:t>
      </w:r>
      <w:r w:rsidRPr="005F6C05">
        <w:t>added that all reports from co-drafting univocally describe positive experiences. Co-drafting is officially recommended by the federal drafting manual ("</w:t>
      </w:r>
      <w:r w:rsidRPr="007116F8">
        <w:rPr>
          <w:i/>
        </w:rPr>
        <w:t>Gesetzgebungsleitfaden</w:t>
      </w:r>
      <w:r w:rsidRPr="005F6C05">
        <w:t>")</w:t>
      </w:r>
      <w:r>
        <w:t>.</w:t>
      </w:r>
      <w:bookmarkStart w:id="285" w:name="_Ref496864077"/>
      <w:r>
        <w:rPr>
          <w:rStyle w:val="FootnoteReference"/>
        </w:rPr>
        <w:footnoteReference w:id="26"/>
      </w:r>
      <w:bookmarkEnd w:id="285"/>
      <w:r w:rsidRPr="005F6C05">
        <w:t xml:space="preserve"> Even if one </w:t>
      </w:r>
      <w:r>
        <w:t>presumes</w:t>
      </w:r>
      <w:r w:rsidRPr="005F6C05">
        <w:t xml:space="preserve"> that usually only very experienced drafters have taken part in such projects</w:t>
      </w:r>
      <w:r>
        <w:t>,</w:t>
      </w:r>
      <w:r w:rsidRPr="005F6C05">
        <w:t xml:space="preserve"> and hence the good results may also </w:t>
      </w:r>
      <w:r>
        <w:t xml:space="preserve">be </w:t>
      </w:r>
      <w:r w:rsidRPr="005F6C05">
        <w:t xml:space="preserve">explained by a positive selection process, the necessity to think of a problem in more than one language is a distinctive benefit. Unfortunately, in times of more limited administrative resources and increasing as well as </w:t>
      </w:r>
      <w:r>
        <w:t>cursory</w:t>
      </w:r>
      <w:r w:rsidRPr="005F6C05">
        <w:t xml:space="preserve"> production of norms, these benefits tend to get neglected.</w:t>
      </w:r>
    </w:p>
    <w:p w:rsidR="00AB02E4" w:rsidRPr="00FD61ED" w:rsidRDefault="00AB02E4" w:rsidP="00AB02E4">
      <w:pPr>
        <w:pStyle w:val="Normaltext1"/>
        <w:rPr>
          <w:lang w:val="en-US"/>
        </w:rPr>
      </w:pPr>
      <w:r>
        <w:t>There is another external development posing a possible threat to the positive effects of co-revision. Traditionally,</w:t>
      </w:r>
      <w:r w:rsidRPr="005F6C05">
        <w:t xml:space="preserve"> Swiss students learn at least one other national language, meaning that the German</w:t>
      </w:r>
      <w:r>
        <w:t>-</w:t>
      </w:r>
      <w:r w:rsidRPr="005F6C05">
        <w:t>speaking students learn French and that the French</w:t>
      </w:r>
      <w:r>
        <w:t>-</w:t>
      </w:r>
      <w:r w:rsidRPr="005F6C05">
        <w:t xml:space="preserve">speaking students learn German, often as their first foreign language. Not surprisingly, this tradition has come under pressure as employers (and students) </w:t>
      </w:r>
      <w:r>
        <w:t>rank</w:t>
      </w:r>
      <w:r w:rsidRPr="005F6C05">
        <w:t xml:space="preserve"> English much higher than French or German. Still, Swiss civil servants are quite knowledgeable of a second language (and may even consider a bilingual working place as distinctively attra</w:t>
      </w:r>
      <w:r w:rsidRPr="009C5BDA">
        <w:t>ctive)</w:t>
      </w:r>
      <w:r>
        <w:t>,</w:t>
      </w:r>
      <w:r w:rsidRPr="009C5BDA">
        <w:t xml:space="preserve"> which ensures that there is sufficient exchange between drafters and translators and between drafters speaking different languages.</w:t>
      </w:r>
      <w:r>
        <w:t xml:space="preserve"> If the level of knowledge of a second national language will drop, so will the benefits from co-revision.</w:t>
      </w:r>
    </w:p>
    <w:p w:rsidR="00AB02E4" w:rsidRPr="009C5BDA" w:rsidRDefault="00AB02E4" w:rsidP="00AB02E4">
      <w:pPr>
        <w:pStyle w:val="Heading3"/>
        <w:rPr>
          <w:lang w:val="en-GB"/>
        </w:rPr>
      </w:pPr>
      <w:bookmarkStart w:id="286" w:name="_Toc498240559"/>
      <w:bookmarkStart w:id="287" w:name="_Toc498240815"/>
      <w:bookmarkStart w:id="288" w:name="_Toc500060184"/>
      <w:bookmarkStart w:id="289" w:name="_Toc501713654"/>
      <w:bookmarkStart w:id="290" w:name="_Toc501713793"/>
      <w:bookmarkStart w:id="291" w:name="_Toc503170543"/>
      <w:bookmarkStart w:id="292" w:name="_Toc503290262"/>
      <w:bookmarkStart w:id="293" w:name="_Toc504579926"/>
      <w:r w:rsidRPr="009C5BDA">
        <w:rPr>
          <w:lang w:val="en-GB"/>
        </w:rPr>
        <w:t>Quantitative Effects</w:t>
      </w:r>
      <w:bookmarkEnd w:id="286"/>
      <w:bookmarkEnd w:id="287"/>
      <w:bookmarkEnd w:id="288"/>
      <w:bookmarkEnd w:id="289"/>
      <w:bookmarkEnd w:id="290"/>
      <w:bookmarkEnd w:id="291"/>
      <w:bookmarkEnd w:id="292"/>
      <w:bookmarkEnd w:id="293"/>
    </w:p>
    <w:p w:rsidR="00AB02E4" w:rsidRPr="009C5BDA" w:rsidRDefault="00AB02E4" w:rsidP="00AB02E4">
      <w:pPr>
        <w:pStyle w:val="Normaltext1"/>
      </w:pPr>
      <w:r w:rsidRPr="009C5BDA">
        <w:t xml:space="preserve">There is little study </w:t>
      </w:r>
      <w:r>
        <w:t xml:space="preserve">of </w:t>
      </w:r>
      <w:r w:rsidRPr="009C5BDA">
        <w:t xml:space="preserve">whether the "burden" of translation influences the </w:t>
      </w:r>
      <w:r>
        <w:t>quantity</w:t>
      </w:r>
      <w:r w:rsidRPr="009C5BDA">
        <w:t xml:space="preserve"> of </w:t>
      </w:r>
      <w:r>
        <w:t xml:space="preserve">new </w:t>
      </w:r>
      <w:r w:rsidRPr="009C5BDA">
        <w:t>norms</w:t>
      </w:r>
      <w:r>
        <w:t xml:space="preserve"> produced</w:t>
      </w:r>
      <w:r w:rsidRPr="009C5BDA">
        <w:t xml:space="preserve">. In 2015, </w:t>
      </w:r>
      <w:r>
        <w:t>a study conducted for</w:t>
      </w:r>
      <w:r w:rsidRPr="009C5BDA">
        <w:t xml:space="preserve"> the canton of Grisons found a</w:t>
      </w:r>
      <w:r>
        <w:t xml:space="preserve"> significant</w:t>
      </w:r>
      <w:r w:rsidRPr="009C5BDA">
        <w:t xml:space="preserve"> disparity </w:t>
      </w:r>
      <w:r>
        <w:t>among</w:t>
      </w:r>
      <w:r w:rsidRPr="009C5BDA">
        <w:t xml:space="preserve"> the </w:t>
      </w:r>
      <w:r>
        <w:t xml:space="preserve">amounts of legislation produced by the </w:t>
      </w:r>
      <w:r w:rsidRPr="009C5BDA">
        <w:t>Swiss cantons.</w:t>
      </w:r>
      <w:bookmarkStart w:id="294" w:name="_Ref504766006"/>
      <w:r>
        <w:rPr>
          <w:rStyle w:val="FootnoteReference"/>
        </w:rPr>
        <w:footnoteReference w:id="27"/>
      </w:r>
      <w:bookmarkEnd w:id="294"/>
      <w:r>
        <w:t xml:space="preserve"> </w:t>
      </w:r>
      <w:r w:rsidRPr="009C5BDA">
        <w:t xml:space="preserve"> The study looked not only at the absolute amount of norms </w:t>
      </w:r>
      <w:r>
        <w:t xml:space="preserve">in a canton, </w:t>
      </w:r>
      <w:r w:rsidRPr="009C5BDA">
        <w:t xml:space="preserve">but also at </w:t>
      </w:r>
      <w:r>
        <w:t xml:space="preserve">the </w:t>
      </w:r>
      <w:r w:rsidRPr="009C5BDA">
        <w:t xml:space="preserve">stability of the legislation over time. </w:t>
      </w:r>
      <w:r>
        <w:t>For this purpose, all n</w:t>
      </w:r>
      <w:r w:rsidRPr="009C5BDA">
        <w:t xml:space="preserve">orms were </w:t>
      </w:r>
      <w:r>
        <w:t>classified</w:t>
      </w:r>
      <w:r w:rsidRPr="009C5BDA">
        <w:t xml:space="preserve"> </w:t>
      </w:r>
      <w:r>
        <w:t xml:space="preserve">as belonging </w:t>
      </w:r>
      <w:r w:rsidRPr="009C5BDA">
        <w:t xml:space="preserve">to the constitutional, </w:t>
      </w:r>
      <w:r>
        <w:t xml:space="preserve">the </w:t>
      </w:r>
      <w:r w:rsidRPr="009C5BDA">
        <w:t>legislative (Parliament) and sub-legislative level (Government).</w:t>
      </w:r>
    </w:p>
    <w:p w:rsidR="00AB02E4" w:rsidRPr="00EA1A64" w:rsidRDefault="00AB02E4" w:rsidP="00AB02E4">
      <w:pPr>
        <w:pStyle w:val="Normaltext1"/>
      </w:pPr>
      <w:r>
        <w:t>If one looks at</w:t>
      </w:r>
      <w:r w:rsidRPr="009C5BDA">
        <w:t xml:space="preserve"> the number of characters</w:t>
      </w:r>
      <w:r>
        <w:t xml:space="preserve"> that make up the corpus of laws of each canton,</w:t>
      </w:r>
      <w:r w:rsidRPr="009C5BDA">
        <w:t xml:space="preserve"> </w:t>
      </w:r>
      <w:r>
        <w:t>one can easily see</w:t>
      </w:r>
      <w:r w:rsidRPr="009C5BDA">
        <w:t xml:space="preserve"> that the canton of Geneva </w:t>
      </w:r>
      <w:r>
        <w:t>(GE) has</w:t>
      </w:r>
      <w:r w:rsidRPr="009C5BDA">
        <w:t xml:space="preserve"> roughly four times </w:t>
      </w:r>
      <w:r>
        <w:t>as many</w:t>
      </w:r>
      <w:r w:rsidRPr="009C5BDA">
        <w:t xml:space="preserve"> norms </w:t>
      </w:r>
      <w:r>
        <w:t>as</w:t>
      </w:r>
      <w:r w:rsidRPr="009C5BDA">
        <w:t xml:space="preserve"> some rural cantons</w:t>
      </w:r>
      <w:r>
        <w:t xml:space="preserve"> (cf. Fig. 2)</w:t>
      </w:r>
      <w:r w:rsidRPr="009C5BDA">
        <w:t>. Disparities are most plausibl</w:t>
      </w:r>
      <w:r>
        <w:t>y</w:t>
      </w:r>
      <w:r w:rsidRPr="009C5BDA">
        <w:t xml:space="preserve"> explained by size</w:t>
      </w:r>
      <w:r>
        <w:t xml:space="preserve"> of the canton</w:t>
      </w:r>
      <w:r w:rsidRPr="009C5BDA">
        <w:t xml:space="preserve"> (the bigger the more) and </w:t>
      </w:r>
      <w:r>
        <w:t xml:space="preserve">its legislative </w:t>
      </w:r>
      <w:r w:rsidRPr="009C5BDA">
        <w:t>tradition (once many laws, always many laws). It is also evident tha</w:t>
      </w:r>
      <w:r>
        <w:t>t</w:t>
      </w:r>
      <w:r w:rsidRPr="009C5BDA">
        <w:t xml:space="preserve"> French</w:t>
      </w:r>
      <w:r>
        <w:t>-</w:t>
      </w:r>
      <w:r w:rsidRPr="009C5BDA">
        <w:t xml:space="preserve">speaking cantons have a larger </w:t>
      </w:r>
      <w:r>
        <w:t>amount</w:t>
      </w:r>
      <w:r w:rsidRPr="009C5BDA">
        <w:t xml:space="preserve"> of legislation than the rest of </w:t>
      </w:r>
      <w:r w:rsidRPr="009C5BDA">
        <w:lastRenderedPageBreak/>
        <w:t>Switzerland</w:t>
      </w:r>
      <w:r>
        <w:t>.</w:t>
      </w:r>
      <w:r w:rsidRPr="009C5BDA">
        <w:t xml:space="preserve"> (The factor that French and Italian texts are somewhat longer</w:t>
      </w:r>
      <w:r>
        <w:t xml:space="preserve"> due to linguistic reasons</w:t>
      </w:r>
      <w:r w:rsidRPr="009C5BDA">
        <w:t xml:space="preserve"> does not play a major role; at the federal level it counts for </w:t>
      </w:r>
      <w:r>
        <w:t>under 5 %</w:t>
      </w:r>
      <w:r w:rsidRPr="009C5BDA">
        <w:t>)</w:t>
      </w:r>
      <w:r>
        <w:t>.</w:t>
      </w:r>
      <w:r>
        <w:rPr>
          <w:rStyle w:val="FootnoteReference"/>
        </w:rPr>
        <w:footnoteReference w:id="28"/>
      </w:r>
    </w:p>
    <w:p w:rsidR="00AB02E4" w:rsidRPr="009C5BDA" w:rsidRDefault="00AB02E4" w:rsidP="00AB02E4">
      <w:pPr>
        <w:jc w:val="center"/>
        <w:rPr>
          <w:lang w:val="en-GB"/>
        </w:rPr>
      </w:pPr>
      <w:r w:rsidRPr="003A5136">
        <w:rPr>
          <w:noProof/>
          <w:lang w:eastAsia="de-CH"/>
        </w:rPr>
        <w:drawing>
          <wp:inline distT="0" distB="0" distL="0" distR="0" wp14:anchorId="1C309225" wp14:editId="0E6361CC">
            <wp:extent cx="5220970" cy="3347942"/>
            <wp:effectExtent l="114300" t="171450" r="113030" b="17653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970" cy="3347942"/>
                    </a:xfrm>
                    <a:prstGeom prst="rect">
                      <a:avLst/>
                    </a:prstGeom>
                    <a:noFill/>
                    <a:ln>
                      <a:noFill/>
                    </a:ln>
                  </pic:spPr>
                </pic:pic>
              </a:graphicData>
            </a:graphic>
          </wp:inline>
        </w:drawing>
      </w:r>
    </w:p>
    <w:p w:rsidR="00AB02E4" w:rsidRPr="009C5BDA" w:rsidRDefault="00AB02E4" w:rsidP="00AB02E4">
      <w:pPr>
        <w:pStyle w:val="Normaltext1"/>
      </w:pPr>
      <w:r w:rsidRPr="009C5BDA">
        <w:rPr>
          <w:b/>
        </w:rPr>
        <w:t>Figure 2:</w:t>
      </w:r>
      <w:r>
        <w:t xml:space="preserve"> </w:t>
      </w:r>
      <w:r w:rsidRPr="009C5BDA">
        <w:t xml:space="preserve">Number of characters used in cantonal legislative texts (mio.), </w:t>
      </w:r>
      <w:r w:rsidRPr="00F352A5">
        <w:rPr>
          <w:smallCaps/>
        </w:rPr>
        <w:t>Simon Lüchinger/Marius Roth/Mark Schelker/Felix Uhlmann</w:t>
      </w:r>
      <w:r w:rsidRPr="00F352A5">
        <w:t xml:space="preserve">, </w:t>
      </w:r>
      <w:r>
        <w:t xml:space="preserve">above n. </w:t>
      </w:r>
      <w:r w:rsidR="004F3A38">
        <w:fldChar w:fldCharType="begin"/>
      </w:r>
      <w:r w:rsidR="004F3A38">
        <w:instrText xml:space="preserve"> NOTEREF _Ref504766006 \h </w:instrText>
      </w:r>
      <w:r w:rsidR="004F3A38">
        <w:fldChar w:fldCharType="separate"/>
      </w:r>
      <w:r w:rsidR="00D10211">
        <w:t>26</w:t>
      </w:r>
      <w:r w:rsidR="004F3A38">
        <w:fldChar w:fldCharType="end"/>
      </w:r>
      <w:r w:rsidR="004F3A38">
        <w:t xml:space="preserve"> </w:t>
      </w:r>
      <w:r>
        <w:t>at</w:t>
      </w:r>
      <w:r w:rsidRPr="00F352A5">
        <w:t xml:space="preserve"> 14.</w:t>
      </w:r>
    </w:p>
    <w:p w:rsidR="00AB02E4" w:rsidRPr="009C5BDA" w:rsidRDefault="00AB02E4" w:rsidP="00AB02E4">
      <w:pPr>
        <w:pStyle w:val="Normaltext1"/>
      </w:pPr>
      <w:r w:rsidRPr="009C5BDA">
        <w:t xml:space="preserve">The data are inconclusive on the question whether the need for translation reduces the number of norms. One might say that the large canton of Berne has fewer norms than Zurich, maybe because of </w:t>
      </w:r>
      <w:r>
        <w:t xml:space="preserve">the need for </w:t>
      </w:r>
      <w:r w:rsidRPr="009C5BDA">
        <w:t xml:space="preserve">translation. Also, Valais and Fribourg </w:t>
      </w:r>
      <w:r>
        <w:t>seem to have fewer norms</w:t>
      </w:r>
      <w:r w:rsidRPr="009C5BDA">
        <w:t xml:space="preserve"> </w:t>
      </w:r>
      <w:r>
        <w:t>than</w:t>
      </w:r>
      <w:r w:rsidRPr="009C5BDA">
        <w:t xml:space="preserve"> Geneva, Vaud and Neuchâtel</w:t>
      </w:r>
      <w:r>
        <w:t>,</w:t>
      </w:r>
      <w:r w:rsidRPr="009C5BDA">
        <w:t xml:space="preserve"> but this may as well be explained by their proximity to the German</w:t>
      </w:r>
      <w:r>
        <w:t>-</w:t>
      </w:r>
      <w:r w:rsidRPr="009C5BDA">
        <w:t xml:space="preserve">speaking part of Switzerland. Grisons, </w:t>
      </w:r>
      <w:r>
        <w:t xml:space="preserve">the </w:t>
      </w:r>
      <w:r w:rsidRPr="009C5BDA">
        <w:t xml:space="preserve">largest canton </w:t>
      </w:r>
      <w:r>
        <w:t xml:space="preserve">area-wise, </w:t>
      </w:r>
      <w:r w:rsidRPr="009C5BDA">
        <w:t>but lightly populated</w:t>
      </w:r>
      <w:r>
        <w:t>,</w:t>
      </w:r>
      <w:r w:rsidRPr="009C5BDA">
        <w:t xml:space="preserve"> is reluctant to produce norms</w:t>
      </w:r>
      <w:r>
        <w:t>,</w:t>
      </w:r>
      <w:r w:rsidRPr="009C5BDA">
        <w:t xml:space="preserve"> but </w:t>
      </w:r>
      <w:r>
        <w:t>this again might be due to</w:t>
      </w:r>
      <w:r w:rsidRPr="009C5BDA">
        <w:t xml:space="preserve"> tradition and the population</w:t>
      </w:r>
      <w:r>
        <w:t xml:space="preserve"> size</w:t>
      </w:r>
      <w:r w:rsidRPr="009C5BDA">
        <w:t>. Hence, it must remain speculati</w:t>
      </w:r>
      <w:r>
        <w:t>ve</w:t>
      </w:r>
      <w:r w:rsidRPr="009C5BDA">
        <w:t xml:space="preserve"> whether translation has </w:t>
      </w:r>
      <w:r>
        <w:t>fostered (or hindered)</w:t>
      </w:r>
      <w:r w:rsidRPr="009C5BDA">
        <w:t xml:space="preserve"> the production of norms in Switzerland. It is certainly not a decisive factor.</w:t>
      </w:r>
    </w:p>
    <w:p w:rsidR="00AB02E4" w:rsidRDefault="00AB02E4" w:rsidP="00AB02E4">
      <w:pPr>
        <w:pStyle w:val="Normaltext1"/>
      </w:pPr>
      <w:r w:rsidRPr="009C5BDA">
        <w:t>There are, unfortunately, no studies on the duration of the legislative process if a text has to be translated. Experience und manuals on the legislative process suggest that it indeed influences the time lime of a project</w:t>
      </w:r>
      <w:r>
        <w:t>,</w:t>
      </w:r>
      <w:r>
        <w:rPr>
          <w:rStyle w:val="FootnoteReference"/>
        </w:rPr>
        <w:footnoteReference w:id="29"/>
      </w:r>
      <w:r w:rsidRPr="009C5BDA">
        <w:t xml:space="preserve"> but is probably not a decisive factor. Translation often goes hand in hand with other necessary checks. It should also be noted that the legislative </w:t>
      </w:r>
      <w:r w:rsidRPr="009C5BDA">
        <w:lastRenderedPageBreak/>
        <w:t>process is still comparatively slow (but accelerating) in Switzerland</w:t>
      </w:r>
      <w:r>
        <w:t>,</w:t>
      </w:r>
      <w:r w:rsidRPr="009C5BDA">
        <w:t xml:space="preserve"> so that the time for translation is hardly felt.</w:t>
      </w:r>
    </w:p>
    <w:p w:rsidR="00AB02E4" w:rsidRPr="00185C9D" w:rsidRDefault="00AB02E4" w:rsidP="00AB02E4">
      <w:pPr>
        <w:pStyle w:val="Normaltextitalic"/>
      </w:pPr>
      <w:r w:rsidRPr="00921281">
        <w:t>In conclusion, translations are a benefit to the legislative process but only if properly embedded in the process and if there is a real exchange between translators and drafters.</w:t>
      </w:r>
    </w:p>
    <w:p w:rsidR="00AB02E4" w:rsidRPr="00A56FFF" w:rsidRDefault="00AB02E4" w:rsidP="00AB02E4">
      <w:pPr>
        <w:pStyle w:val="Centredline"/>
        <w:rPr>
          <w:lang w:val="en-US"/>
        </w:rPr>
        <w:sectPr w:rsidR="00AB02E4" w:rsidRPr="00A56FFF" w:rsidSect="00ED7DD0">
          <w:headerReference w:type="default" r:id="rId31"/>
          <w:footnotePr>
            <w:numRestart w:val="eachSect"/>
          </w:footnotePr>
          <w:pgSz w:w="12240" w:h="15840"/>
          <w:pgMar w:top="1440" w:right="1440" w:bottom="1440" w:left="1440" w:header="720" w:footer="720" w:gutter="0"/>
          <w:cols w:space="720"/>
          <w:titlePg/>
          <w:docGrid w:linePitch="360"/>
        </w:sectPr>
      </w:pPr>
      <w:r w:rsidRPr="00F350C7">
        <w:t>_________</w:t>
      </w:r>
      <w:r>
        <w:t>_____________________________</w:t>
      </w:r>
    </w:p>
    <w:p w:rsidR="002461C3" w:rsidRDefault="006B5722" w:rsidP="002461C3">
      <w:pPr>
        <w:pStyle w:val="Heading1"/>
      </w:pPr>
      <w:bookmarkStart w:id="295" w:name="_Toc500060185"/>
      <w:bookmarkStart w:id="296" w:name="_Toc501713655"/>
      <w:bookmarkStart w:id="297" w:name="_Toc501713794"/>
      <w:bookmarkStart w:id="298" w:name="_Toc503170544"/>
      <w:bookmarkStart w:id="299" w:name="_Toc503290263"/>
      <w:bookmarkStart w:id="300" w:name="_Toc504579927"/>
      <w:bookmarkStart w:id="301" w:name="_Toc504661150"/>
      <w:r w:rsidRPr="00341D99">
        <w:lastRenderedPageBreak/>
        <w:t>Challenges related to the incorporation of Inuit Qaujimajatuqangit into legislation</w:t>
      </w:r>
      <w:bookmarkEnd w:id="229"/>
      <w:bookmarkEnd w:id="230"/>
      <w:bookmarkEnd w:id="295"/>
      <w:bookmarkEnd w:id="296"/>
      <w:bookmarkEnd w:id="297"/>
      <w:bookmarkEnd w:id="298"/>
      <w:bookmarkEnd w:id="299"/>
      <w:bookmarkEnd w:id="300"/>
      <w:bookmarkEnd w:id="301"/>
    </w:p>
    <w:p w:rsidR="00B16B39" w:rsidRDefault="00B16B39" w:rsidP="00E04D1D">
      <w:pPr>
        <w:pStyle w:val="Heading1B"/>
        <w:spacing w:line="240" w:lineRule="auto"/>
      </w:pPr>
      <w:bookmarkStart w:id="302" w:name="_Toc2"/>
      <w:bookmarkStart w:id="303" w:name="_Toc501713656"/>
      <w:bookmarkStart w:id="304" w:name="_Toc501713795"/>
      <w:bookmarkStart w:id="305" w:name="_Toc503170545"/>
      <w:bookmarkStart w:id="306" w:name="_Toc503290264"/>
      <w:bookmarkStart w:id="307" w:name="_Toc504579928"/>
      <w:bookmarkStart w:id="308" w:name="_Toc504661151"/>
      <w:bookmarkEnd w:id="231"/>
      <w:bookmarkEnd w:id="232"/>
      <w:bookmarkEnd w:id="233"/>
      <w:r>
        <w:rPr>
          <w:rFonts w:eastAsia="Arial Unicode MS" w:cs="Arial Unicode MS"/>
        </w:rPr>
        <w:t>Thomas Wilhelm Ahlfors</w:t>
      </w:r>
      <w:r>
        <w:rPr>
          <w:vertAlign w:val="superscript"/>
        </w:rPr>
        <w:footnoteReference w:id="30"/>
      </w:r>
      <w:bookmarkEnd w:id="302"/>
      <w:bookmarkEnd w:id="303"/>
      <w:bookmarkEnd w:id="304"/>
      <w:bookmarkEnd w:id="305"/>
      <w:bookmarkEnd w:id="306"/>
      <w:bookmarkEnd w:id="307"/>
      <w:bookmarkEnd w:id="308"/>
    </w:p>
    <w:p w:rsidR="00B16B39" w:rsidRDefault="00033A46" w:rsidP="00033A46">
      <w:pPr>
        <w:pStyle w:val="Body"/>
        <w:jc w:val="center"/>
      </w:pPr>
      <w:r>
        <w:rPr>
          <w:noProof/>
        </w:rPr>
        <w:drawing>
          <wp:inline distT="0" distB="0" distL="0" distR="0">
            <wp:extent cx="1868557" cy="218340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5276" t="10724" r="14290"/>
                    <a:stretch/>
                  </pic:blipFill>
                  <pic:spPr bwMode="auto">
                    <a:xfrm>
                      <a:off x="0" y="0"/>
                      <a:ext cx="1868557" cy="2183403"/>
                    </a:xfrm>
                    <a:prstGeom prst="rect">
                      <a:avLst/>
                    </a:prstGeom>
                    <a:noFill/>
                    <a:ln>
                      <a:noFill/>
                    </a:ln>
                    <a:extLst>
                      <a:ext uri="{53640926-AAD7-44D8-BBD7-CCE9431645EC}">
                        <a14:shadowObscured xmlns:a14="http://schemas.microsoft.com/office/drawing/2010/main"/>
                      </a:ext>
                    </a:extLst>
                  </pic:spPr>
                </pic:pic>
              </a:graphicData>
            </a:graphic>
          </wp:inline>
        </w:drawing>
      </w:r>
    </w:p>
    <w:p w:rsidR="00B16B39" w:rsidRPr="005E7471" w:rsidRDefault="00B16B39" w:rsidP="00B16B39">
      <w:pPr>
        <w:pStyle w:val="Abstractheading"/>
        <w:rPr>
          <w:lang w:val="en-CA"/>
        </w:rPr>
      </w:pPr>
      <w:r>
        <w:rPr>
          <w:lang w:val="en-US"/>
        </w:rPr>
        <w:t xml:space="preserve">Abstract: </w:t>
      </w:r>
    </w:p>
    <w:p w:rsidR="00B16B39" w:rsidRDefault="00033A46" w:rsidP="00B16B39">
      <w:pPr>
        <w:pStyle w:val="Abstract"/>
        <w:rPr>
          <w:lang w:val="en-US"/>
        </w:rPr>
      </w:pPr>
      <w:r>
        <w:rPr>
          <w:lang w:val="en-US"/>
        </w:rPr>
        <w:t xml:space="preserve">There are many jurisdictions that legislate in more than one language. The challenges this presents are magnified when the languages have very different cultural and linguistic origins, as in the Canadian Territory of Nunavut where the official languages are English, French and the language of the indigenous people of the territory, the Inuit. This article focuses on the particular challenges of </w:t>
      </w:r>
      <w:r w:rsidR="00E04D1D">
        <w:rPr>
          <w:lang w:val="en-US"/>
        </w:rPr>
        <w:t xml:space="preserve">integrating into the legislation </w:t>
      </w:r>
      <w:r>
        <w:rPr>
          <w:lang w:val="en-US"/>
        </w:rPr>
        <w:t>the Inuit concept of</w:t>
      </w:r>
      <w:r w:rsidRPr="00033A46">
        <w:rPr>
          <w:lang w:val="en-CA"/>
        </w:rPr>
        <w:t xml:space="preserve"> </w:t>
      </w:r>
      <w:r w:rsidR="00E615CC" w:rsidRPr="00E615CC">
        <w:rPr>
          <w:i w:val="0"/>
          <w:lang w:val="en-CA"/>
        </w:rPr>
        <w:t xml:space="preserve">Inuit </w:t>
      </w:r>
      <w:r w:rsidRPr="00FC11B0">
        <w:rPr>
          <w:i w:val="0"/>
          <w:lang w:val="en-CA"/>
        </w:rPr>
        <w:t>Qaujimajatuqangit</w:t>
      </w:r>
      <w:r>
        <w:rPr>
          <w:lang w:val="en-CA"/>
        </w:rPr>
        <w:t>, which</w:t>
      </w:r>
      <w:r w:rsidRPr="00033A46">
        <w:rPr>
          <w:lang w:val="en-CA"/>
        </w:rPr>
        <w:t xml:space="preserve"> literally translates </w:t>
      </w:r>
      <w:r>
        <w:rPr>
          <w:lang w:val="en-CA"/>
        </w:rPr>
        <w:t xml:space="preserve">in English </w:t>
      </w:r>
      <w:r w:rsidRPr="00033A46">
        <w:rPr>
          <w:lang w:val="en-CA"/>
        </w:rPr>
        <w:t>as “that which Inuit have long known to be true</w:t>
      </w:r>
      <w:r>
        <w:rPr>
          <w:lang w:val="en-CA"/>
        </w:rPr>
        <w:t>.</w:t>
      </w:r>
      <w:r w:rsidRPr="00033A46">
        <w:rPr>
          <w:lang w:val="en-CA"/>
        </w:rPr>
        <w:t>”</w:t>
      </w:r>
      <w:r w:rsidR="00CB6C0F">
        <w:rPr>
          <w:lang w:val="en-CA"/>
        </w:rPr>
        <w:t xml:space="preserve"> These challeng</w:t>
      </w:r>
      <w:bookmarkStart w:id="309" w:name="_GoBack"/>
      <w:bookmarkEnd w:id="309"/>
      <w:r w:rsidR="00CB6C0F">
        <w:rPr>
          <w:lang w:val="en-CA"/>
        </w:rPr>
        <w:t xml:space="preserve">es </w:t>
      </w:r>
      <w:r w:rsidR="00057DA5">
        <w:rPr>
          <w:lang w:val="en-CA"/>
        </w:rPr>
        <w:t>entail</w:t>
      </w:r>
      <w:r w:rsidR="00CB6C0F">
        <w:rPr>
          <w:lang w:val="en-CA"/>
        </w:rPr>
        <w:t xml:space="preserve"> </w:t>
      </w:r>
      <w:r w:rsidR="00057DA5">
        <w:rPr>
          <w:lang w:val="en-CA"/>
        </w:rPr>
        <w:t xml:space="preserve">matters of both language and policy requiring that </w:t>
      </w:r>
      <w:r w:rsidR="00057DA5" w:rsidRPr="00057DA5">
        <w:rPr>
          <w:lang w:val="en-CA"/>
        </w:rPr>
        <w:t>legislative counsel be ready to ask tough questions to get to the bottom of the policy goals, and</w:t>
      </w:r>
      <w:r w:rsidR="00057DA5">
        <w:rPr>
          <w:lang w:val="en-CA"/>
        </w:rPr>
        <w:t xml:space="preserve"> that</w:t>
      </w:r>
      <w:r w:rsidR="00057DA5" w:rsidRPr="00057DA5">
        <w:rPr>
          <w:lang w:val="en-CA"/>
        </w:rPr>
        <w:t xml:space="preserve"> policy officials be ready to concretely explain those policy goals and their expected outcomes</w:t>
      </w:r>
      <w:r w:rsidR="00057DA5">
        <w:rPr>
          <w:lang w:val="en-CA"/>
        </w:rPr>
        <w:t>.</w:t>
      </w:r>
    </w:p>
    <w:p w:rsidR="00B16B39" w:rsidRDefault="00B16B39" w:rsidP="00B16B39">
      <w:pPr>
        <w:pStyle w:val="Abstract"/>
        <w:jc w:val="both"/>
        <w:rPr>
          <w:rFonts w:ascii="Palatino Linotype" w:eastAsia="Palatino Linotype" w:hAnsi="Palatino Linotype" w:cs="Palatino Linotype"/>
          <w:lang w:val="en-US"/>
        </w:rPr>
      </w:pPr>
      <w:r>
        <w:rPr>
          <w:rFonts w:ascii="Palatino Linotype" w:eastAsia="Palatino Linotype" w:hAnsi="Palatino Linotype" w:cs="Palatino Linotype"/>
          <w:lang w:val="en-US"/>
        </w:rPr>
        <w:t>____________________</w:t>
      </w:r>
    </w:p>
    <w:p w:rsidR="004A1457" w:rsidRDefault="001B28C9" w:rsidP="004A1457">
      <w:pPr>
        <w:pStyle w:val="Heading3"/>
        <w:rPr>
          <w:rFonts w:asciiTheme="minorHAnsi" w:eastAsiaTheme="minorEastAsia" w:hAnsiTheme="minorHAnsi" w:cstheme="minorBidi"/>
          <w:noProof/>
          <w:szCs w:val="22"/>
          <w:lang w:val="en-CA" w:eastAsia="en-CA"/>
        </w:rPr>
      </w:pPr>
      <w:bookmarkStart w:id="310" w:name="_Toc501713796"/>
      <w:bookmarkStart w:id="311" w:name="_Toc503170546"/>
      <w:bookmarkStart w:id="312" w:name="_Toc503290265"/>
      <w:bookmarkStart w:id="313" w:name="_Toc504579929"/>
      <w:bookmarkStart w:id="314" w:name="_Toc501713657"/>
      <w:r>
        <w:lastRenderedPageBreak/>
        <w:t>Table of Contents</w:t>
      </w:r>
      <w:bookmarkEnd w:id="310"/>
      <w:bookmarkEnd w:id="311"/>
      <w:bookmarkEnd w:id="312"/>
      <w:bookmarkEnd w:id="313"/>
      <w:r>
        <w:fldChar w:fldCharType="begin"/>
      </w:r>
      <w:r>
        <w:instrText xml:space="preserve"> TOC \o "1-3" \h \z \u </w:instrText>
      </w:r>
      <w:r>
        <w:fldChar w:fldCharType="separate"/>
      </w:r>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66" w:history="1">
        <w:r w:rsidR="004A1457" w:rsidRPr="00605924">
          <w:rPr>
            <w:rStyle w:val="Hyperlink"/>
            <w:lang w:val="en-CA"/>
          </w:rPr>
          <w:t>Introduction</w:t>
        </w:r>
        <w:r w:rsidR="004A1457">
          <w:rPr>
            <w:webHidden/>
          </w:rPr>
          <w:tab/>
        </w:r>
        <w:r w:rsidR="004A1457">
          <w:rPr>
            <w:webHidden/>
          </w:rPr>
          <w:fldChar w:fldCharType="begin"/>
        </w:r>
        <w:r w:rsidR="004A1457">
          <w:rPr>
            <w:webHidden/>
          </w:rPr>
          <w:instrText xml:space="preserve"> PAGEREF _Toc503290266 \h </w:instrText>
        </w:r>
        <w:r w:rsidR="004A1457">
          <w:rPr>
            <w:webHidden/>
          </w:rPr>
        </w:r>
        <w:r w:rsidR="004A1457">
          <w:rPr>
            <w:webHidden/>
          </w:rPr>
          <w:fldChar w:fldCharType="separate"/>
        </w:r>
        <w:r w:rsidR="00D10211">
          <w:rPr>
            <w:webHidden/>
          </w:rPr>
          <w:t>64</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67" w:history="1">
        <w:r w:rsidR="004A1457" w:rsidRPr="00605924">
          <w:rPr>
            <w:rStyle w:val="Hyperlink"/>
          </w:rPr>
          <w:t>“What is Inuit Qaujimajatuqangit?”</w:t>
        </w:r>
        <w:r w:rsidR="004A1457">
          <w:rPr>
            <w:webHidden/>
          </w:rPr>
          <w:tab/>
        </w:r>
        <w:r w:rsidR="004A1457">
          <w:rPr>
            <w:webHidden/>
          </w:rPr>
          <w:fldChar w:fldCharType="begin"/>
        </w:r>
        <w:r w:rsidR="004A1457">
          <w:rPr>
            <w:webHidden/>
          </w:rPr>
          <w:instrText xml:space="preserve"> PAGEREF _Toc503290267 \h </w:instrText>
        </w:r>
        <w:r w:rsidR="004A1457">
          <w:rPr>
            <w:webHidden/>
          </w:rPr>
        </w:r>
        <w:r w:rsidR="004A1457">
          <w:rPr>
            <w:webHidden/>
          </w:rPr>
          <w:fldChar w:fldCharType="separate"/>
        </w:r>
        <w:r w:rsidR="00D10211">
          <w:rPr>
            <w:webHidden/>
          </w:rPr>
          <w:t>65</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68" w:history="1">
        <w:r w:rsidR="004A1457" w:rsidRPr="00605924">
          <w:rPr>
            <w:rStyle w:val="Hyperlink"/>
          </w:rPr>
          <w:t>“Why is Inuit Qaujimajatuqangit important?”</w:t>
        </w:r>
        <w:r w:rsidR="004A1457">
          <w:rPr>
            <w:webHidden/>
          </w:rPr>
          <w:tab/>
        </w:r>
        <w:r w:rsidR="004A1457">
          <w:rPr>
            <w:webHidden/>
          </w:rPr>
          <w:fldChar w:fldCharType="begin"/>
        </w:r>
        <w:r w:rsidR="004A1457">
          <w:rPr>
            <w:webHidden/>
          </w:rPr>
          <w:instrText xml:space="preserve"> PAGEREF _Toc503290268 \h </w:instrText>
        </w:r>
        <w:r w:rsidR="004A1457">
          <w:rPr>
            <w:webHidden/>
          </w:rPr>
        </w:r>
        <w:r w:rsidR="004A1457">
          <w:rPr>
            <w:webHidden/>
          </w:rPr>
          <w:fldChar w:fldCharType="separate"/>
        </w:r>
        <w:r w:rsidR="00D10211">
          <w:rPr>
            <w:webHidden/>
          </w:rPr>
          <w:t>66</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69" w:history="1">
        <w:r w:rsidR="004A1457" w:rsidRPr="00605924">
          <w:rPr>
            <w:rStyle w:val="Hyperlink"/>
          </w:rPr>
          <w:t>Some different approaches from the present and past</w:t>
        </w:r>
        <w:r w:rsidR="004A1457">
          <w:rPr>
            <w:webHidden/>
          </w:rPr>
          <w:tab/>
        </w:r>
        <w:r w:rsidR="004A1457">
          <w:rPr>
            <w:webHidden/>
          </w:rPr>
          <w:fldChar w:fldCharType="begin"/>
        </w:r>
        <w:r w:rsidR="004A1457">
          <w:rPr>
            <w:webHidden/>
          </w:rPr>
          <w:instrText xml:space="preserve"> PAGEREF _Toc503290269 \h </w:instrText>
        </w:r>
        <w:r w:rsidR="004A1457">
          <w:rPr>
            <w:webHidden/>
          </w:rPr>
        </w:r>
        <w:r w:rsidR="004A1457">
          <w:rPr>
            <w:webHidden/>
          </w:rPr>
          <w:fldChar w:fldCharType="separate"/>
        </w:r>
        <w:r w:rsidR="00D10211">
          <w:rPr>
            <w:webHidden/>
          </w:rPr>
          <w:t>71</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70" w:history="1">
        <w:r w:rsidR="004A1457" w:rsidRPr="00605924">
          <w:rPr>
            <w:rStyle w:val="Hyperlink"/>
          </w:rPr>
          <w:t>Role of Legislative Counsel</w:t>
        </w:r>
        <w:r w:rsidR="004A1457">
          <w:rPr>
            <w:webHidden/>
          </w:rPr>
          <w:tab/>
        </w:r>
        <w:r w:rsidR="004A1457">
          <w:rPr>
            <w:webHidden/>
          </w:rPr>
          <w:fldChar w:fldCharType="begin"/>
        </w:r>
        <w:r w:rsidR="004A1457">
          <w:rPr>
            <w:webHidden/>
          </w:rPr>
          <w:instrText xml:space="preserve"> PAGEREF _Toc503290270 \h </w:instrText>
        </w:r>
        <w:r w:rsidR="004A1457">
          <w:rPr>
            <w:webHidden/>
          </w:rPr>
        </w:r>
        <w:r w:rsidR="004A1457">
          <w:rPr>
            <w:webHidden/>
          </w:rPr>
          <w:fldChar w:fldCharType="separate"/>
        </w:r>
        <w:r w:rsidR="00D10211">
          <w:rPr>
            <w:webHidden/>
          </w:rPr>
          <w:t>75</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71" w:history="1">
        <w:r w:rsidR="004A1457" w:rsidRPr="00605924">
          <w:rPr>
            <w:rStyle w:val="Hyperlink"/>
            <w:lang w:val="it-IT"/>
          </w:rPr>
          <w:t>Conclusion</w:t>
        </w:r>
        <w:r w:rsidR="004A1457">
          <w:rPr>
            <w:webHidden/>
          </w:rPr>
          <w:tab/>
        </w:r>
        <w:r w:rsidR="004A1457">
          <w:rPr>
            <w:webHidden/>
          </w:rPr>
          <w:fldChar w:fldCharType="begin"/>
        </w:r>
        <w:r w:rsidR="004A1457">
          <w:rPr>
            <w:webHidden/>
          </w:rPr>
          <w:instrText xml:space="preserve"> PAGEREF _Toc503290271 \h </w:instrText>
        </w:r>
        <w:r w:rsidR="004A1457">
          <w:rPr>
            <w:webHidden/>
          </w:rPr>
        </w:r>
        <w:r w:rsidR="004A1457">
          <w:rPr>
            <w:webHidden/>
          </w:rPr>
          <w:fldChar w:fldCharType="separate"/>
        </w:r>
        <w:r w:rsidR="00D10211">
          <w:rPr>
            <w:webHidden/>
          </w:rPr>
          <w:t>76</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72" w:history="1">
        <w:r w:rsidR="004A1457" w:rsidRPr="00605924">
          <w:rPr>
            <w:rStyle w:val="Hyperlink"/>
            <w:lang w:val="da-DK"/>
          </w:rPr>
          <w:t xml:space="preserve">Appendix A </w:t>
        </w:r>
        <w:r w:rsidR="004A1457" w:rsidRPr="00605924">
          <w:rPr>
            <w:rStyle w:val="Hyperlink"/>
          </w:rPr>
          <w:t xml:space="preserve">– Examples of references to Inuit Qaujimajatuqangit in the </w:t>
        </w:r>
        <w:r w:rsidR="004A1457" w:rsidRPr="00605924">
          <w:rPr>
            <w:rStyle w:val="Hyperlink"/>
            <w:i/>
            <w:iCs/>
          </w:rPr>
          <w:t>Education Act</w:t>
        </w:r>
        <w:r w:rsidR="004A1457">
          <w:rPr>
            <w:webHidden/>
          </w:rPr>
          <w:tab/>
        </w:r>
        <w:r w:rsidR="004A1457">
          <w:rPr>
            <w:webHidden/>
          </w:rPr>
          <w:fldChar w:fldCharType="begin"/>
        </w:r>
        <w:r w:rsidR="004A1457">
          <w:rPr>
            <w:webHidden/>
          </w:rPr>
          <w:instrText xml:space="preserve"> PAGEREF _Toc503290272 \h </w:instrText>
        </w:r>
        <w:r w:rsidR="004A1457">
          <w:rPr>
            <w:webHidden/>
          </w:rPr>
        </w:r>
        <w:r w:rsidR="004A1457">
          <w:rPr>
            <w:webHidden/>
          </w:rPr>
          <w:fldChar w:fldCharType="separate"/>
        </w:r>
        <w:r w:rsidR="00D10211">
          <w:rPr>
            <w:webHidden/>
          </w:rPr>
          <w:t>76</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73" w:history="1">
        <w:r w:rsidR="004A1457" w:rsidRPr="00605924">
          <w:rPr>
            <w:rStyle w:val="Hyperlink"/>
            <w:lang w:val="da-DK"/>
          </w:rPr>
          <w:t xml:space="preserve">Appendix B </w:t>
        </w:r>
        <w:r w:rsidR="004A1457" w:rsidRPr="00605924">
          <w:rPr>
            <w:rStyle w:val="Hyperlink"/>
          </w:rPr>
          <w:t>– Direct reference to Inuit Qaujimajatuqangit, without a definition</w:t>
        </w:r>
        <w:r w:rsidR="004A1457">
          <w:rPr>
            <w:webHidden/>
          </w:rPr>
          <w:tab/>
        </w:r>
        <w:r w:rsidR="004A1457">
          <w:rPr>
            <w:webHidden/>
          </w:rPr>
          <w:fldChar w:fldCharType="begin"/>
        </w:r>
        <w:r w:rsidR="004A1457">
          <w:rPr>
            <w:webHidden/>
          </w:rPr>
          <w:instrText xml:space="preserve"> PAGEREF _Toc503290273 \h </w:instrText>
        </w:r>
        <w:r w:rsidR="004A1457">
          <w:rPr>
            <w:webHidden/>
          </w:rPr>
        </w:r>
        <w:r w:rsidR="004A1457">
          <w:rPr>
            <w:webHidden/>
          </w:rPr>
          <w:fldChar w:fldCharType="separate"/>
        </w:r>
        <w:r w:rsidR="00D10211">
          <w:rPr>
            <w:webHidden/>
          </w:rPr>
          <w:t>77</w:t>
        </w:r>
        <w:r w:rsidR="004A1457">
          <w:rPr>
            <w:webHidden/>
          </w:rPr>
          <w:fldChar w:fldCharType="end"/>
        </w:r>
      </w:hyperlink>
    </w:p>
    <w:p w:rsidR="004A1457"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290274" w:history="1">
        <w:r w:rsidR="004A1457" w:rsidRPr="00605924">
          <w:rPr>
            <w:rStyle w:val="Hyperlink"/>
            <w:lang w:val="da-DK"/>
          </w:rPr>
          <w:t xml:space="preserve">Appendix C – </w:t>
        </w:r>
        <w:r w:rsidR="004A1457" w:rsidRPr="00605924">
          <w:rPr>
            <w:rStyle w:val="Hyperlink"/>
            <w:rFonts w:eastAsia="Arial Unicode MS" w:cs="Arial Unicode MS"/>
          </w:rPr>
          <w:t>Aboriginal custom adoption</w:t>
        </w:r>
        <w:r w:rsidR="004A1457">
          <w:rPr>
            <w:webHidden/>
          </w:rPr>
          <w:tab/>
        </w:r>
        <w:r w:rsidR="004A1457">
          <w:rPr>
            <w:webHidden/>
          </w:rPr>
          <w:fldChar w:fldCharType="begin"/>
        </w:r>
        <w:r w:rsidR="004A1457">
          <w:rPr>
            <w:webHidden/>
          </w:rPr>
          <w:instrText xml:space="preserve"> PAGEREF _Toc503290274 \h </w:instrText>
        </w:r>
        <w:r w:rsidR="004A1457">
          <w:rPr>
            <w:webHidden/>
          </w:rPr>
        </w:r>
        <w:r w:rsidR="004A1457">
          <w:rPr>
            <w:webHidden/>
          </w:rPr>
          <w:fldChar w:fldCharType="separate"/>
        </w:r>
        <w:r w:rsidR="00D10211">
          <w:rPr>
            <w:webHidden/>
          </w:rPr>
          <w:t>78</w:t>
        </w:r>
        <w:r w:rsidR="004A1457">
          <w:rPr>
            <w:webHidden/>
          </w:rPr>
          <w:fldChar w:fldCharType="end"/>
        </w:r>
      </w:hyperlink>
    </w:p>
    <w:p w:rsidR="00B16B39" w:rsidRDefault="001B28C9" w:rsidP="00B16B39">
      <w:pPr>
        <w:pStyle w:val="Heading3"/>
      </w:pPr>
      <w:r>
        <w:fldChar w:fldCharType="end"/>
      </w:r>
      <w:bookmarkStart w:id="315" w:name="_Toc503170547"/>
      <w:bookmarkStart w:id="316" w:name="_Toc503290266"/>
      <w:bookmarkStart w:id="317" w:name="_Toc504579930"/>
      <w:r w:rsidR="00B16B39" w:rsidRPr="005E7471">
        <w:rPr>
          <w:lang w:val="en-CA"/>
        </w:rPr>
        <w:t>Introduction</w:t>
      </w:r>
      <w:bookmarkEnd w:id="314"/>
      <w:bookmarkEnd w:id="315"/>
      <w:bookmarkEnd w:id="316"/>
      <w:bookmarkEnd w:id="317"/>
    </w:p>
    <w:p w:rsidR="00B16B39" w:rsidRDefault="00B16B39" w:rsidP="00B16B39">
      <w:pPr>
        <w:pStyle w:val="Normaltext1"/>
      </w:pPr>
      <w:r>
        <w:t>One of the main tools that Legislative Counsel use every day is language. Our goal is to use language that accurately reflects the underlying policy, is legally precise and unambiguous, and is as accessible as possible. Definitions are an integral part of our work, whether we are using a term with its common or technical meaning or we provide a definition that more accurately reflects what a term is to mean in a piece of legislation. Most, if not all, Commonwealth jurisdictions also have Interpretation Acts that define key terms used throughout the statute book.</w:t>
      </w:r>
    </w:p>
    <w:p w:rsidR="00B16B39" w:rsidRDefault="00B16B39" w:rsidP="00B16B39">
      <w:pPr>
        <w:pStyle w:val="Normaltext1"/>
      </w:pPr>
      <w:r>
        <w:t>The language we use reflects the context in which that language developed. The history of the English language is intertwined with the history of the English-speaking world, and further in the past with the history of the various peoples that settled the British Isles. English, the language of the common law, developed terms over the centuries that are difficult to accurately translate even into French, such as ‘trust’, ‘estate’ (in property law), or even the term ‘common law’ itself. However, English and French still developed in relatively similar European contexts, and it is possible to explain these terms using the French language, even though it may take more than a few words to do so. Further, due to official bilingualism in Canada, generally accepted French terms have been found to reflect the English concepts, such as ‘fiducie’ for ‘trust’ and ‘domaine’ for ‘estate’, even though those French terms do not have quite the same meaning as their English counterparts. The same has generally happened for French Civil Law terms that have been difficult to translate to English.</w:t>
      </w:r>
    </w:p>
    <w:p w:rsidR="00B16B39" w:rsidRDefault="00B16B39" w:rsidP="00B16B39">
      <w:pPr>
        <w:pStyle w:val="Normaltext1"/>
      </w:pPr>
      <w:r>
        <w:t xml:space="preserve">A very different situation, however, can arise at the intersection of two languages that developed in such vastly different contexts that not only is it difficult to find equivalent terminology in the other language, but it is also difficult to explain terminology from one language using the available vocabulary </w:t>
      </w:r>
      <w:r w:rsidR="007F14D5">
        <w:t>of</w:t>
      </w:r>
      <w:r>
        <w:t xml:space="preserve"> the other language. In short, one language simply isn’t equipped to explain, let alone translate, terminology from the other language. This is </w:t>
      </w:r>
      <w:r>
        <w:lastRenderedPageBreak/>
        <w:t xml:space="preserve">the conundrum one is faced with trying to answer in English – or for that matter in French – what should be a relatively easy question: </w:t>
      </w:r>
    </w:p>
    <w:p w:rsidR="00B16B39" w:rsidRDefault="00B16B39" w:rsidP="00B16B39">
      <w:pPr>
        <w:pStyle w:val="Heading3"/>
      </w:pPr>
      <w:bookmarkStart w:id="318" w:name="_Toc501713658"/>
      <w:bookmarkStart w:id="319" w:name="_Toc503170548"/>
      <w:bookmarkStart w:id="320" w:name="_Toc503290267"/>
      <w:bookmarkStart w:id="321" w:name="_Toc504579931"/>
      <w:r>
        <w:t>“What is Inuit Qaujimajatuqangit?”</w:t>
      </w:r>
      <w:bookmarkEnd w:id="318"/>
      <w:bookmarkEnd w:id="319"/>
      <w:bookmarkEnd w:id="320"/>
      <w:bookmarkEnd w:id="321"/>
    </w:p>
    <w:p w:rsidR="00B16B39" w:rsidRDefault="00B16B39" w:rsidP="00B16B39">
      <w:pPr>
        <w:pStyle w:val="Normaltext1"/>
      </w:pPr>
      <w:r w:rsidRPr="004F3A38">
        <w:rPr>
          <w:i/>
        </w:rPr>
        <w:t xml:space="preserve">Inuit </w:t>
      </w:r>
      <w:bookmarkStart w:id="322" w:name="_Hlk504300658"/>
      <w:r w:rsidRPr="00B75A66">
        <w:rPr>
          <w:i/>
        </w:rPr>
        <w:t xml:space="preserve">Qaujimajatuqangit </w:t>
      </w:r>
      <w:r>
        <w:t>literally translates as “that which Inuit have long known to be true”</w:t>
      </w:r>
      <w:bookmarkStart w:id="323" w:name="_Ref498174108"/>
      <w:bookmarkEnd w:id="322"/>
      <w:r>
        <w:t>.</w:t>
      </w:r>
      <w:r>
        <w:rPr>
          <w:rFonts w:eastAsia="Times New Roman"/>
          <w:vertAlign w:val="superscript"/>
        </w:rPr>
        <w:footnoteReference w:id="31"/>
      </w:r>
      <w:bookmarkEnd w:id="323"/>
      <w:r>
        <w:t xml:space="preserve"> This literal translation is lacking, as it evokes the concept of traditional knowledge – and in fact </w:t>
      </w:r>
      <w:r w:rsidRPr="004F3A38">
        <w:rPr>
          <w:i/>
        </w:rPr>
        <w:t xml:space="preserve">Inuit </w:t>
      </w:r>
      <w:r w:rsidRPr="001F7D8F">
        <w:rPr>
          <w:i/>
        </w:rPr>
        <w:t xml:space="preserve">Qaujimajatuqangit </w:t>
      </w:r>
      <w:r>
        <w:t xml:space="preserve">is often translated as “Inuit traditional knowledge”.  However, both the words ‘traditional’ and ‘knowledge’ evoke, at least in the mind of most English readers, something that is only a part of </w:t>
      </w:r>
      <w:r w:rsidRPr="004F3A38">
        <w:rPr>
          <w:i/>
        </w:rPr>
        <w:t xml:space="preserve">Inuit </w:t>
      </w:r>
      <w:r w:rsidRPr="001F7D8F">
        <w:rPr>
          <w:i/>
        </w:rPr>
        <w:t>Qaujimajatuqangit</w:t>
      </w:r>
      <w:r>
        <w:t xml:space="preserve">. </w:t>
      </w:r>
    </w:p>
    <w:p w:rsidR="00B16B39" w:rsidRDefault="00B16B39" w:rsidP="00B16B39">
      <w:pPr>
        <w:pStyle w:val="Normaltext1"/>
      </w:pPr>
      <w:r>
        <w:t xml:space="preserve">First, the English word ‘knowledge’ is generally distinct from skills, beliefs, laws, values, culture, social organization and behaviour. In order to begin understanding the full extent of </w:t>
      </w:r>
      <w:r w:rsidRPr="004F3A38">
        <w:rPr>
          <w:i/>
        </w:rPr>
        <w:t xml:space="preserve">Inuit </w:t>
      </w:r>
      <w:r w:rsidRPr="001F7D8F">
        <w:rPr>
          <w:i/>
        </w:rPr>
        <w:t>Qaujimajatuqangit</w:t>
      </w:r>
      <w:r>
        <w:t>, ‘knowledge’ cannot to be understood so restrictively, but rather much more holistically and seamlessly as everything which is passed on from generation to generation.</w:t>
      </w:r>
      <w:bookmarkStart w:id="324" w:name="_Ref501712221"/>
      <w:r>
        <w:rPr>
          <w:rFonts w:eastAsia="Times New Roman"/>
          <w:vertAlign w:val="superscript"/>
        </w:rPr>
        <w:footnoteReference w:id="32"/>
      </w:r>
      <w:bookmarkEnd w:id="324"/>
      <w:r>
        <w:t xml:space="preserve"> </w:t>
      </w:r>
    </w:p>
    <w:p w:rsidR="00B16B39" w:rsidRDefault="00B16B39" w:rsidP="00B16B39">
      <w:pPr>
        <w:pStyle w:val="Normaltext1"/>
      </w:pPr>
      <w:r>
        <w:t xml:space="preserve">Second, the English word ‘traditional’ evokes something from the past that is immutable and unchanging. However, while </w:t>
      </w:r>
      <w:r w:rsidRPr="004F3A38">
        <w:rPr>
          <w:i/>
        </w:rPr>
        <w:t xml:space="preserve">Inuit </w:t>
      </w:r>
      <w:r w:rsidRPr="001F7D8F">
        <w:rPr>
          <w:i/>
        </w:rPr>
        <w:t xml:space="preserve">Qaujimajatuqangit </w:t>
      </w:r>
      <w:r>
        <w:t xml:space="preserve">is rooted firmly in the past, it is ever changing – each generation adds content to </w:t>
      </w:r>
      <w:r w:rsidRPr="004F3A38">
        <w:rPr>
          <w:i/>
        </w:rPr>
        <w:t xml:space="preserve">Inuit </w:t>
      </w:r>
      <w:r w:rsidRPr="001F7D8F">
        <w:rPr>
          <w:i/>
        </w:rPr>
        <w:t>Qaujimajatuqangit</w:t>
      </w:r>
      <w:r>
        <w:t xml:space="preserve"> as it passes it on the next generation. And in some cases, external influences of colonialism have muted certain aspects of </w:t>
      </w:r>
      <w:r w:rsidRPr="004F3A38">
        <w:rPr>
          <w:i/>
        </w:rPr>
        <w:t xml:space="preserve">Inuit </w:t>
      </w:r>
      <w:r w:rsidRPr="001F7D8F">
        <w:rPr>
          <w:i/>
        </w:rPr>
        <w:t>Qaujimajatuqangit</w:t>
      </w:r>
      <w:r>
        <w:t>, such as its traditional spiritual dimensions that were challenged by missionaries and are no longer practiced or passed on to the same extent as in the past.</w:t>
      </w:r>
      <w:r>
        <w:rPr>
          <w:rFonts w:eastAsia="Times New Roman"/>
          <w:vertAlign w:val="superscript"/>
        </w:rPr>
        <w:footnoteReference w:id="33"/>
      </w:r>
    </w:p>
    <w:p w:rsidR="00B16B39" w:rsidRDefault="00B16B39" w:rsidP="00B16B39">
      <w:pPr>
        <w:pStyle w:val="Normaltext1"/>
      </w:pPr>
      <w:r>
        <w:t xml:space="preserve">The English phrase that most closely captures the concept of </w:t>
      </w:r>
      <w:r w:rsidRPr="004F3A38">
        <w:rPr>
          <w:i/>
        </w:rPr>
        <w:t xml:space="preserve">Inuit </w:t>
      </w:r>
      <w:r w:rsidRPr="001F7D8F">
        <w:rPr>
          <w:i/>
        </w:rPr>
        <w:t>Qaujimajatuqangit</w:t>
      </w:r>
      <w:r>
        <w:t xml:space="preserve"> would be ‘Inuit worldview’, where the concept of ‘worldview’ is given as broad and liberal an interpretation as can be. Some descriptions that have been used in the past are:</w:t>
      </w:r>
    </w:p>
    <w:p w:rsidR="00B16B39" w:rsidRDefault="00B16B39" w:rsidP="00B16B39">
      <w:pPr>
        <w:pStyle w:val="Bullet1"/>
        <w:numPr>
          <w:ilvl w:val="0"/>
          <w:numId w:val="34"/>
        </w:numPr>
        <w:pBdr>
          <w:top w:val="nil"/>
          <w:left w:val="nil"/>
          <w:bottom w:val="nil"/>
          <w:right w:val="nil"/>
          <w:between w:val="nil"/>
          <w:bar w:val="nil"/>
        </w:pBdr>
        <w:overflowPunct/>
        <w:autoSpaceDE/>
        <w:autoSpaceDN/>
        <w:adjustRightInd/>
        <w:contextualSpacing w:val="0"/>
        <w:textAlignment w:val="auto"/>
      </w:pPr>
      <w:r>
        <w:t>[</w:t>
      </w:r>
      <w:r w:rsidRPr="004F3A38">
        <w:rPr>
          <w:i/>
        </w:rPr>
        <w:t xml:space="preserve">Inuit </w:t>
      </w:r>
      <w:r w:rsidRPr="001F7D8F">
        <w:rPr>
          <w:i/>
        </w:rPr>
        <w:t>Qaujimajatuqangit</w:t>
      </w:r>
      <w:r>
        <w:t>] is a living technology. It is a means of rationalizing thought and action, a means of organizing tasks and resources, a means of organizing family and society into coherent wholes.</w:t>
      </w:r>
      <w:r>
        <w:rPr>
          <w:vertAlign w:val="superscript"/>
        </w:rPr>
        <w:footnoteReference w:id="34"/>
      </w:r>
    </w:p>
    <w:p w:rsidR="00B16B39" w:rsidRDefault="00B16B39" w:rsidP="00B16B39">
      <w:pPr>
        <w:pStyle w:val="Bullet1"/>
        <w:numPr>
          <w:ilvl w:val="0"/>
          <w:numId w:val="34"/>
        </w:numPr>
        <w:pBdr>
          <w:top w:val="nil"/>
          <w:left w:val="nil"/>
          <w:bottom w:val="nil"/>
          <w:right w:val="nil"/>
          <w:between w:val="nil"/>
          <w:bar w:val="nil"/>
        </w:pBdr>
        <w:overflowPunct/>
        <w:autoSpaceDE/>
        <w:autoSpaceDN/>
        <w:adjustRightInd/>
        <w:contextualSpacing w:val="0"/>
        <w:textAlignment w:val="auto"/>
      </w:pPr>
      <w:r>
        <w:lastRenderedPageBreak/>
        <w:t>All aspects of traditional Inuit culture including values, world-view, language, social organization, knowledge, life-skills, perceptions and expectations.</w:t>
      </w:r>
      <w:r>
        <w:rPr>
          <w:vertAlign w:val="superscript"/>
        </w:rPr>
        <w:footnoteReference w:id="35"/>
      </w:r>
    </w:p>
    <w:p w:rsidR="00B16B39" w:rsidRDefault="00B16B39" w:rsidP="00B16B39">
      <w:pPr>
        <w:pStyle w:val="Bullet1"/>
        <w:numPr>
          <w:ilvl w:val="0"/>
          <w:numId w:val="34"/>
        </w:numPr>
        <w:pBdr>
          <w:top w:val="nil"/>
          <w:left w:val="nil"/>
          <w:bottom w:val="nil"/>
          <w:right w:val="nil"/>
          <w:between w:val="nil"/>
          <w:bar w:val="nil"/>
        </w:pBdr>
        <w:overflowPunct/>
        <w:autoSpaceDE/>
        <w:autoSpaceDN/>
        <w:adjustRightInd/>
        <w:contextualSpacing w:val="0"/>
        <w:textAlignment w:val="auto"/>
      </w:pPr>
      <w:r>
        <w:t>The Inuit way of doing things: the past, present and future knowledge of Inuit Society.</w:t>
      </w:r>
      <w:r>
        <w:rPr>
          <w:vertAlign w:val="superscript"/>
        </w:rPr>
        <w:footnoteReference w:id="36"/>
      </w:r>
    </w:p>
    <w:p w:rsidR="00B16B39" w:rsidRDefault="00B16B39" w:rsidP="00B16B39">
      <w:pPr>
        <w:pStyle w:val="Bullet1"/>
        <w:numPr>
          <w:ilvl w:val="0"/>
          <w:numId w:val="34"/>
        </w:numPr>
        <w:pBdr>
          <w:top w:val="nil"/>
          <w:left w:val="nil"/>
          <w:bottom w:val="nil"/>
          <w:right w:val="nil"/>
          <w:between w:val="nil"/>
          <w:bar w:val="nil"/>
        </w:pBdr>
        <w:overflowPunct/>
        <w:autoSpaceDE/>
        <w:autoSpaceDN/>
        <w:adjustRightInd/>
        <w:contextualSpacing w:val="0"/>
        <w:textAlignment w:val="auto"/>
      </w:pPr>
      <w:r>
        <w:t xml:space="preserve">Inuit beliefs, laws, principles and values along with traditional knowledge, skills and attitudes are what the Government of Nunavut and Elders refer to as </w:t>
      </w:r>
      <w:r w:rsidRPr="004F3A38">
        <w:rPr>
          <w:i/>
        </w:rPr>
        <w:t xml:space="preserve">Inuit </w:t>
      </w:r>
      <w:r w:rsidRPr="001F7D8F">
        <w:rPr>
          <w:i/>
        </w:rPr>
        <w:t>Qaujimajatuqangit</w:t>
      </w:r>
      <w:r>
        <w:t>.</w:t>
      </w:r>
      <w:r>
        <w:rPr>
          <w:vertAlign w:val="superscript"/>
        </w:rPr>
        <w:footnoteReference w:id="37"/>
      </w:r>
    </w:p>
    <w:p w:rsidR="00B16B39" w:rsidRDefault="00B16B39" w:rsidP="00B16B39">
      <w:pPr>
        <w:pStyle w:val="Normaltext1"/>
      </w:pPr>
      <w:r>
        <w:t xml:space="preserve">Most Nunavut statutes using the term </w:t>
      </w:r>
      <w:r w:rsidRPr="004F3A38">
        <w:rPr>
          <w:i/>
        </w:rPr>
        <w:t xml:space="preserve">Inuit </w:t>
      </w:r>
      <w:r w:rsidRPr="001F7D8F">
        <w:rPr>
          <w:i/>
        </w:rPr>
        <w:t>Qaujimajatuqangit</w:t>
      </w:r>
      <w:r>
        <w:t xml:space="preserve"> do not define it.</w:t>
      </w:r>
      <w:r>
        <w:rPr>
          <w:rFonts w:eastAsia="Times New Roman"/>
          <w:vertAlign w:val="superscript"/>
        </w:rPr>
        <w:footnoteReference w:id="38"/>
      </w:r>
      <w:r>
        <w:t xml:space="preserve"> The definition of </w:t>
      </w:r>
      <w:r w:rsidRPr="004F3A38">
        <w:rPr>
          <w:i/>
        </w:rPr>
        <w:t xml:space="preserve">Inuit </w:t>
      </w:r>
      <w:r w:rsidRPr="001F7D8F">
        <w:rPr>
          <w:i/>
        </w:rPr>
        <w:t>Qaujimajatuqangit</w:t>
      </w:r>
      <w:r>
        <w:t xml:space="preserve"> that has been included in two statutes is “traditional Inuit values, knowledge, behaviour, perceptions and expectations”.</w:t>
      </w:r>
      <w:r>
        <w:rPr>
          <w:rFonts w:eastAsia="Times New Roman"/>
          <w:vertAlign w:val="superscript"/>
        </w:rPr>
        <w:footnoteReference w:id="39"/>
      </w:r>
      <w:r>
        <w:rPr>
          <w:vertAlign w:val="superscript"/>
        </w:rPr>
        <w:t xml:space="preserve"> </w:t>
      </w:r>
      <w:r>
        <w:t xml:space="preserve">As discussed above, the use of the word ‘traditional’ is not ideal, given that </w:t>
      </w:r>
      <w:r w:rsidRPr="004F3A38">
        <w:rPr>
          <w:i/>
        </w:rPr>
        <w:t xml:space="preserve">Inuit </w:t>
      </w:r>
      <w:r w:rsidRPr="001F7D8F">
        <w:rPr>
          <w:i/>
        </w:rPr>
        <w:t>Qaujimajatuqangit</w:t>
      </w:r>
      <w:r>
        <w:t xml:space="preserve"> is something that continues to live and evolve. Further, as discussed below, such a broad concept is of limited value in statutes. </w:t>
      </w:r>
    </w:p>
    <w:p w:rsidR="00B16B39" w:rsidRDefault="00B16B39" w:rsidP="00B16B39">
      <w:pPr>
        <w:pStyle w:val="Normaltext1"/>
      </w:pPr>
      <w:r>
        <w:t xml:space="preserve">In Nunavut courts, there has been no judicial </w:t>
      </w:r>
      <w:r w:rsidR="007F14D5">
        <w:t>consideration</w:t>
      </w:r>
      <w:r>
        <w:t xml:space="preserve"> of the term – in fact, the term did not appear in any reported Nunavut court judgment until a 2017 judgment, which provides an excellent introduction to the following question:</w:t>
      </w:r>
    </w:p>
    <w:p w:rsidR="00B16B39" w:rsidRDefault="00B16B39" w:rsidP="00B16B39">
      <w:pPr>
        <w:pStyle w:val="Heading3"/>
      </w:pPr>
      <w:bookmarkStart w:id="325" w:name="_Toc501713659"/>
      <w:bookmarkStart w:id="326" w:name="_Toc503170549"/>
      <w:bookmarkStart w:id="327" w:name="_Toc503290268"/>
      <w:bookmarkStart w:id="328" w:name="_Toc504579932"/>
      <w:r>
        <w:t xml:space="preserve">“Why is </w:t>
      </w:r>
      <w:r w:rsidRPr="004F3A38">
        <w:rPr>
          <w:i/>
        </w:rPr>
        <w:t xml:space="preserve">Inuit </w:t>
      </w:r>
      <w:r w:rsidRPr="001F7D8F">
        <w:rPr>
          <w:i/>
        </w:rPr>
        <w:t>Qaujimajatuqangit</w:t>
      </w:r>
      <w:r>
        <w:t xml:space="preserve"> important?”</w:t>
      </w:r>
      <w:bookmarkEnd w:id="325"/>
      <w:bookmarkEnd w:id="326"/>
      <w:bookmarkEnd w:id="327"/>
      <w:bookmarkEnd w:id="328"/>
    </w:p>
    <w:p w:rsidR="00B16B39" w:rsidRDefault="00B16B39" w:rsidP="00B16B39">
      <w:pPr>
        <w:pStyle w:val="Normaltext1"/>
      </w:pPr>
      <w:r>
        <w:t xml:space="preserve">Nunavut is a beautiful, wonderful land. It is a great place to live. </w:t>
      </w:r>
    </w:p>
    <w:p w:rsidR="00B16B39" w:rsidRDefault="00B16B39" w:rsidP="00B16B39">
      <w:pPr>
        <w:pStyle w:val="Normaltext1"/>
      </w:pPr>
      <w:r>
        <w:t>Nunavummiut are deservedly proud of their ancient heritage and history.</w:t>
      </w:r>
    </w:p>
    <w:p w:rsidR="00B16B39" w:rsidRDefault="00B16B39" w:rsidP="00B16B39">
      <w:pPr>
        <w:pStyle w:val="Normaltext1"/>
      </w:pPr>
      <w:r>
        <w:t xml:space="preserve">All of us who live here are enriched by </w:t>
      </w:r>
      <w:r w:rsidRPr="004F3A38">
        <w:rPr>
          <w:i/>
        </w:rPr>
        <w:t xml:space="preserve">Inuit </w:t>
      </w:r>
      <w:r w:rsidRPr="001F7D8F">
        <w:rPr>
          <w:i/>
        </w:rPr>
        <w:t>Qaujimajatuqangit</w:t>
      </w:r>
      <w:r>
        <w:t>.</w:t>
      </w:r>
      <w:r>
        <w:rPr>
          <w:rFonts w:eastAsia="Times New Roman"/>
          <w:vertAlign w:val="superscript"/>
        </w:rPr>
        <w:footnoteReference w:id="40"/>
      </w:r>
    </w:p>
    <w:p w:rsidR="00B16B39" w:rsidRDefault="00B16B39" w:rsidP="00B16B39">
      <w:pPr>
        <w:pStyle w:val="Normaltext1"/>
      </w:pPr>
      <w:r>
        <w:t xml:space="preserve">Nunavut – which means “our land” in Inuktut, the Inuit language – has a unique history. Its unforgiving land and climate have been the home of the Inuit for over a millennium. The Inuit lived a semi-nomadic lifestyle, whereby they would move from camp to camp based on the seasons and the movements of wildlife, which was their main source of sustenance and clothing. While there was earlier contact with European and North American whalers, </w:t>
      </w:r>
      <w:r>
        <w:lastRenderedPageBreak/>
        <w:t xml:space="preserve">fur traders and missionaries, this semi-nomadic lifestyle persisted until after the Second World War. </w:t>
      </w:r>
    </w:p>
    <w:p w:rsidR="00B16B39" w:rsidRDefault="00B16B39" w:rsidP="00B16B39">
      <w:pPr>
        <w:pStyle w:val="Normaltext1"/>
      </w:pPr>
      <w:r>
        <w:t>After the war, the Canadian government set out to colonize and settle the Inuit living in the Canadian Arctic. The changes were drastic. Within a short time, not much more than a decade during the 1950s and 1960s, the Inuit went “from scattered hunting camps to settlements steeped in the organizational logic and material realities of high modernism”.</w:t>
      </w:r>
      <w:r>
        <w:rPr>
          <w:rFonts w:eastAsia="Times New Roman"/>
          <w:vertAlign w:val="superscript"/>
        </w:rPr>
        <w:footnoteReference w:id="41"/>
      </w:r>
      <w:r>
        <w:t xml:space="preserve"> Children were forced to go to school, often away from their families in residential schools where they were not allowed to speak their language or practice their culture. The effect on the Inuit way of life and </w:t>
      </w:r>
      <w:r w:rsidRPr="004F3A38">
        <w:rPr>
          <w:i/>
        </w:rPr>
        <w:t xml:space="preserve">Inuit </w:t>
      </w:r>
      <w:r w:rsidRPr="001F7D8F">
        <w:rPr>
          <w:i/>
        </w:rPr>
        <w:t>Qaujimajatuqangit</w:t>
      </w:r>
      <w:r>
        <w:t xml:space="preserve"> in general was significant, and understandably many Inuit were not happy with their way of life being replaced by one imported from southern Canada. The entire transformation is still within the living memory of Inuit Elders.</w:t>
      </w:r>
    </w:p>
    <w:p w:rsidR="00B16B39" w:rsidRDefault="00B16B39" w:rsidP="00B16B39">
      <w:pPr>
        <w:pStyle w:val="Normaltext1"/>
      </w:pPr>
      <w:r>
        <w:t xml:space="preserve">A decade later, in the 1970s, the Inuit of Nunavut, as the traditional users and occupiers of the land, started negotiations for a land claim with the Canadian government. These negotiations culminated in 1993 in the Nunavut Land Claims Agreement (NLCA) in which the Inuit of Nunavut ceded their aboriginal title to the lands in exchange for an array of constitutionally protected rights and benefits, including fee simple title to about 352,000 square kilometres of land (larger than the land area of the entire British Isles), of which about 36,000 square kilometres include subsurface rights. </w:t>
      </w:r>
    </w:p>
    <w:p w:rsidR="00B16B39" w:rsidRDefault="00B16B39" w:rsidP="00B16B39">
      <w:pPr>
        <w:pStyle w:val="Normaltext1"/>
      </w:pPr>
      <w:r>
        <w:t>Among the terms of the agreement was a commitment by Canada to establish a new territory with its own public government:</w:t>
      </w:r>
    </w:p>
    <w:p w:rsidR="00B16B39" w:rsidRDefault="00B16B39" w:rsidP="00B16B39">
      <w:pPr>
        <w:pStyle w:val="Normaltext2"/>
      </w:pPr>
      <w:r>
        <w:t>The Government of Canada will recommend to Parliament, as a government measure, legislation to establish, within a defined time period, a new Nunavut Territory, with its own Legislative Assembly and public government, separate from the Government of the remainder of the Northwest Territories.</w:t>
      </w:r>
      <w:r>
        <w:rPr>
          <w:rFonts w:eastAsia="Times New Roman"/>
          <w:vertAlign w:val="superscript"/>
        </w:rPr>
        <w:footnoteReference w:id="42"/>
      </w:r>
    </w:p>
    <w:p w:rsidR="00B16B39" w:rsidRDefault="00B16B39" w:rsidP="00B16B39">
      <w:pPr>
        <w:pStyle w:val="Normaltext1"/>
      </w:pPr>
      <w:r>
        <w:t>Further, the agreement provides that the Inuit have a right to participate in the development of social and cultural policies in Nunavut:</w:t>
      </w:r>
    </w:p>
    <w:p w:rsidR="00B16B39" w:rsidRDefault="00B16B39" w:rsidP="00B16B39">
      <w:pPr>
        <w:pStyle w:val="Normaltext2"/>
      </w:pPr>
      <w:r>
        <w:t>32.1.1.</w:t>
      </w:r>
      <w:r>
        <w:tab/>
        <w:t>Without limiting any rights of the Inuit or any obligations of Government, outside of the Agreement, Inuit have the right as set out in this Article to participate in the development of social and cultural policies, and in the design of social and cultural programs and services, including their method of delivery, within the Nunavut Settlement Area.</w:t>
      </w:r>
    </w:p>
    <w:p w:rsidR="00B16B39" w:rsidRDefault="00B16B39" w:rsidP="00B16B39">
      <w:pPr>
        <w:pStyle w:val="Normaltext2"/>
      </w:pPr>
      <w:r>
        <w:t>32.2.1.</w:t>
      </w:r>
      <w:r>
        <w:tab/>
        <w:t>Government obligations under Section 32.2.1 shall be fulfilled by Government:</w:t>
      </w:r>
    </w:p>
    <w:p w:rsidR="00B16B39" w:rsidRDefault="00B16B39" w:rsidP="00B16B39">
      <w:pPr>
        <w:pStyle w:val="Normaltext3"/>
      </w:pPr>
      <w:r>
        <w:lastRenderedPageBreak/>
        <w:t>(a)</w:t>
      </w:r>
      <w:r>
        <w:tab/>
        <w:t>providing Inuit with an opportunity to participate in the development of social and cultural policies, and in the design of social and cultural programs and services, including their method of delivery, in the Nunavut Settlement Area; and</w:t>
      </w:r>
    </w:p>
    <w:p w:rsidR="00B16B39" w:rsidRDefault="00B16B39" w:rsidP="00B16B39">
      <w:pPr>
        <w:pStyle w:val="Normaltext3"/>
      </w:pPr>
      <w:r>
        <w:t>(b)</w:t>
      </w:r>
      <w:r>
        <w:tab/>
        <w:t>endeavouring to reflect Inuit goals and objectives where it puts in place such social and cultural policies, programs and services in the Nunavut Settlement Area.</w:t>
      </w:r>
      <w:bookmarkStart w:id="329" w:name="_Ref498174346"/>
      <w:r>
        <w:rPr>
          <w:vertAlign w:val="superscript"/>
        </w:rPr>
        <w:footnoteReference w:id="43"/>
      </w:r>
      <w:bookmarkEnd w:id="329"/>
    </w:p>
    <w:p w:rsidR="00B16B39" w:rsidRDefault="00B16B39" w:rsidP="00B16B39">
      <w:pPr>
        <w:pStyle w:val="Normaltext1"/>
      </w:pPr>
      <w:r>
        <w:t xml:space="preserve">In the lead-up to the creation of Nunavut on April 1, 1999, there was much discussion about how the new government would include </w:t>
      </w:r>
      <w:r w:rsidRPr="004F3A38">
        <w:rPr>
          <w:i/>
        </w:rPr>
        <w:t xml:space="preserve">Inuit </w:t>
      </w:r>
      <w:r w:rsidRPr="001F7D8F">
        <w:rPr>
          <w:i/>
        </w:rPr>
        <w:t>Qaujimajatuqangit</w:t>
      </w:r>
      <w:r>
        <w:t xml:space="preserve"> within its operations. The second Commissioner’s address</w:t>
      </w:r>
      <w:r>
        <w:rPr>
          <w:rFonts w:eastAsia="Times New Roman"/>
          <w:vertAlign w:val="superscript"/>
        </w:rPr>
        <w:footnoteReference w:id="44"/>
      </w:r>
      <w:r>
        <w:rPr>
          <w:vertAlign w:val="superscript"/>
        </w:rPr>
        <w:t xml:space="preserve"> </w:t>
      </w:r>
      <w:r>
        <w:t xml:space="preserve">to the Legislative Assembly said a “commitment to incorporate </w:t>
      </w:r>
      <w:r w:rsidRPr="004F3A38">
        <w:rPr>
          <w:i/>
        </w:rPr>
        <w:t>Inuit</w:t>
      </w:r>
      <w:r>
        <w:t xml:space="preserve"> </w:t>
      </w:r>
      <w:r w:rsidRPr="001F7D8F">
        <w:rPr>
          <w:i/>
        </w:rPr>
        <w:t>Qaujimajatuqangit</w:t>
      </w:r>
      <w:r>
        <w:t xml:space="preserve"> is a basis for all government decisions and actions”.</w:t>
      </w:r>
      <w:r>
        <w:rPr>
          <w:rFonts w:eastAsia="Times New Roman"/>
          <w:vertAlign w:val="superscript"/>
        </w:rPr>
        <w:footnoteReference w:id="45"/>
      </w:r>
      <w:r>
        <w:t xml:space="preserve"> The first government of Nunavut included as part of its mandate the following guiding principle:</w:t>
      </w:r>
    </w:p>
    <w:p w:rsidR="00B16B39" w:rsidRDefault="00B16B39" w:rsidP="00B16B39">
      <w:pPr>
        <w:pStyle w:val="Normaltext2"/>
      </w:pPr>
      <w:r w:rsidRPr="004F3A38">
        <w:rPr>
          <w:i/>
        </w:rPr>
        <w:t xml:space="preserve">Inuit </w:t>
      </w:r>
      <w:r w:rsidRPr="001F7D8F">
        <w:rPr>
          <w:i/>
        </w:rPr>
        <w:t>Qaujimajatuqangit</w:t>
      </w:r>
      <w:r>
        <w:t xml:space="preserve"> will provide the context in which we develop an open, responsive and accountable government.</w:t>
      </w:r>
      <w:r>
        <w:rPr>
          <w:rFonts w:eastAsia="Times New Roman"/>
          <w:vertAlign w:val="superscript"/>
        </w:rPr>
        <w:footnoteReference w:id="46"/>
      </w:r>
    </w:p>
    <w:p w:rsidR="00B16B39" w:rsidRDefault="00B16B39" w:rsidP="00B16B39">
      <w:pPr>
        <w:pStyle w:val="Normaltext1"/>
      </w:pPr>
      <w:r>
        <w:t>Finally, the Truth and Reconciliation Commission of Canada, which examined the legacy of the residential school system mentioned above, recommended that:</w:t>
      </w:r>
    </w:p>
    <w:p w:rsidR="00B16B39" w:rsidRDefault="00B16B39" w:rsidP="00B16B39">
      <w:pPr>
        <w:pStyle w:val="Normaltext2"/>
      </w:pPr>
      <w:r>
        <w:t>In keeping with the United Nations Declaration of Rights of Indigenous Peoples, we call upon the federal government, in collaboration with Aboriginal organizations, to fund the establishment of Indigenous law institutes for the development, use, and understanding of Indigenous laws and access to justice in accordance with the unique cultures of Aboriginal peoples in Canada.</w:t>
      </w:r>
      <w:r>
        <w:rPr>
          <w:rFonts w:eastAsia="Times New Roman"/>
          <w:vertAlign w:val="superscript"/>
        </w:rPr>
        <w:footnoteReference w:id="47"/>
      </w:r>
    </w:p>
    <w:p w:rsidR="00B16B39" w:rsidRDefault="00B16B39" w:rsidP="00B16B39">
      <w:pPr>
        <w:pStyle w:val="Normaltext1"/>
      </w:pPr>
      <w:r>
        <w:t xml:space="preserve">Ultimately, the incorporation of </w:t>
      </w:r>
      <w:r w:rsidRPr="004F3A38">
        <w:rPr>
          <w:i/>
        </w:rPr>
        <w:t>Inuit</w:t>
      </w:r>
      <w:r>
        <w:t xml:space="preserve"> </w:t>
      </w:r>
      <w:r w:rsidRPr="001F7D8F">
        <w:rPr>
          <w:i/>
        </w:rPr>
        <w:t>Qaujimajatuqangit</w:t>
      </w:r>
      <w:r>
        <w:t xml:space="preserve"> into governance and legislation is necessary for the people of Nunavut, of whom 85% are Inuit, to govern themselves in a culturally relevant and appropriate manner. That imperative brings us to the main question of this paper:</w:t>
      </w:r>
    </w:p>
    <w:p w:rsidR="00B16B39" w:rsidRDefault="00B16B39" w:rsidP="00B16B39">
      <w:pPr>
        <w:pStyle w:val="Normaltext2"/>
      </w:pPr>
      <w:r>
        <w:t xml:space="preserve">“How is </w:t>
      </w:r>
      <w:r w:rsidRPr="004F3A38">
        <w:rPr>
          <w:i/>
        </w:rPr>
        <w:t xml:space="preserve">Inuit </w:t>
      </w:r>
      <w:r w:rsidRPr="001F7D8F">
        <w:rPr>
          <w:i/>
        </w:rPr>
        <w:t>Qaujimajatuqangit</w:t>
      </w:r>
      <w:r>
        <w:t xml:space="preserve"> incorporated into legislation?”</w:t>
      </w:r>
    </w:p>
    <w:p w:rsidR="00B16B39" w:rsidRDefault="00B16B39" w:rsidP="00B16B39">
      <w:pPr>
        <w:pStyle w:val="Normaltext1"/>
      </w:pPr>
      <w:r>
        <w:t xml:space="preserve">The challenge of incorporating into legislation a term that is so broad it defies proper definition in the English language was identified by a Special Committee of the Legislative </w:t>
      </w:r>
      <w:r>
        <w:lastRenderedPageBreak/>
        <w:t xml:space="preserve">Assembly of Nunavut to review the </w:t>
      </w:r>
      <w:r>
        <w:rPr>
          <w:i/>
          <w:iCs/>
        </w:rPr>
        <w:t>Education Act</w:t>
      </w:r>
      <w:r>
        <w:t>, which uses the term “</w:t>
      </w:r>
      <w:r w:rsidRPr="004F3A38">
        <w:rPr>
          <w:i/>
        </w:rPr>
        <w:t>Inuit</w:t>
      </w:r>
      <w:r>
        <w:t xml:space="preserve"> </w:t>
      </w:r>
      <w:r w:rsidRPr="001F7D8F">
        <w:rPr>
          <w:i/>
        </w:rPr>
        <w:t>Qaujimajatuqangit</w:t>
      </w:r>
      <w:r>
        <w:t>” 43 times:</w:t>
      </w:r>
      <w:r>
        <w:rPr>
          <w:rFonts w:eastAsia="Times New Roman"/>
          <w:vertAlign w:val="superscript"/>
        </w:rPr>
        <w:footnoteReference w:id="48"/>
      </w:r>
    </w:p>
    <w:p w:rsidR="00B16B39" w:rsidRDefault="00B16B39" w:rsidP="00B16B39">
      <w:pPr>
        <w:pStyle w:val="Normaltext2"/>
      </w:pPr>
      <w:r>
        <w:t xml:space="preserve">To date, </w:t>
      </w:r>
      <w:r w:rsidRPr="004F3A38">
        <w:rPr>
          <w:i/>
        </w:rPr>
        <w:t xml:space="preserve">Inuit </w:t>
      </w:r>
      <w:r w:rsidRPr="001F7D8F">
        <w:rPr>
          <w:i/>
        </w:rPr>
        <w:t>Qaujimajatuqangit</w:t>
      </w:r>
      <w:r>
        <w:t xml:space="preserve"> in the government is a broadly interpreted and conceptual approach which is difficult to incorporate into legislation and implement in daily operations. It was noted that formal legislation has its roots in western culture and often takes on a highly-defined and prescriptive structure. A number of contributors argued that the effectiveness of the legislation was compromised by attempts to integrate </w:t>
      </w:r>
      <w:r w:rsidRPr="004F3A38">
        <w:rPr>
          <w:i/>
        </w:rPr>
        <w:t xml:space="preserve">Inuit </w:t>
      </w:r>
      <w:r w:rsidRPr="001F7D8F">
        <w:rPr>
          <w:i/>
        </w:rPr>
        <w:t>Qaujimajatuqangit</w:t>
      </w:r>
      <w:r>
        <w:t xml:space="preserve"> within specific sections of the Education Act. It was pointed out that requiring the incorporation of </w:t>
      </w:r>
      <w:r w:rsidRPr="004F3A38">
        <w:rPr>
          <w:i/>
        </w:rPr>
        <w:t xml:space="preserve">Inuit </w:t>
      </w:r>
      <w:r w:rsidRPr="001F7D8F">
        <w:rPr>
          <w:i/>
        </w:rPr>
        <w:t>Qaujimajatuqangit</w:t>
      </w:r>
      <w:r>
        <w:t xml:space="preserve"> within specific legislative contexts in the Education Act without clear and precise definitions, activities, or measurements to assess the success of that implementation was impractical and ineffective.</w:t>
      </w:r>
      <w:bookmarkStart w:id="330" w:name="_Ref498174373"/>
      <w:bookmarkStart w:id="331" w:name="_Ref501712678"/>
      <w:r>
        <w:rPr>
          <w:rFonts w:eastAsia="Times New Roman"/>
          <w:vertAlign w:val="superscript"/>
        </w:rPr>
        <w:footnoteReference w:id="49"/>
      </w:r>
      <w:bookmarkEnd w:id="330"/>
      <w:bookmarkEnd w:id="331"/>
    </w:p>
    <w:p w:rsidR="00B16B39" w:rsidRDefault="00B16B39" w:rsidP="00B16B39">
      <w:pPr>
        <w:pStyle w:val="Normaltext1"/>
      </w:pPr>
      <w:r>
        <w:t xml:space="preserve">The Committee further recommended that “specific references to the incorporation of </w:t>
      </w:r>
      <w:r w:rsidRPr="004F3A38">
        <w:rPr>
          <w:i/>
        </w:rPr>
        <w:t xml:space="preserve">Inuit </w:t>
      </w:r>
      <w:r w:rsidRPr="001F7D8F">
        <w:rPr>
          <w:i/>
        </w:rPr>
        <w:t>Qaujimajatuqangit</w:t>
      </w:r>
      <w:r>
        <w:t xml:space="preserve"> in Nunavut’s education system within the </w:t>
      </w:r>
      <w:r>
        <w:rPr>
          <w:i/>
          <w:iCs/>
        </w:rPr>
        <w:t>Education Act</w:t>
      </w:r>
      <w:r>
        <w:t xml:space="preserve"> be removed from the legislation”.</w:t>
      </w:r>
      <w:r>
        <w:rPr>
          <w:rFonts w:eastAsia="Times New Roman"/>
          <w:vertAlign w:val="superscript"/>
        </w:rPr>
        <w:footnoteReference w:id="50"/>
      </w:r>
      <w:r>
        <w:t xml:space="preserve"> In March 2017, the Minister of Education introduced a Bill to remove most of the references to </w:t>
      </w:r>
      <w:r w:rsidRPr="004F3A38">
        <w:rPr>
          <w:i/>
        </w:rPr>
        <w:t>Inuit</w:t>
      </w:r>
      <w:r>
        <w:t xml:space="preserve"> Qaujimajatuqangit, but </w:t>
      </w:r>
      <w:r w:rsidRPr="004F3A38">
        <w:rPr>
          <w:i/>
        </w:rPr>
        <w:t xml:space="preserve">Inuit </w:t>
      </w:r>
      <w:r>
        <w:t>Qaujimajatuqangit will remain a foundational principle:</w:t>
      </w:r>
    </w:p>
    <w:p w:rsidR="00B16B39" w:rsidRDefault="00B16B39" w:rsidP="00B16B39">
      <w:pPr>
        <w:pStyle w:val="Normaltext2"/>
      </w:pPr>
      <w:r>
        <w:t xml:space="preserve">Inuit societal values and </w:t>
      </w:r>
      <w:r w:rsidRPr="004F3A38">
        <w:rPr>
          <w:i/>
        </w:rPr>
        <w:t xml:space="preserve">Inuit </w:t>
      </w:r>
      <w:r w:rsidRPr="001F7D8F">
        <w:rPr>
          <w:i/>
        </w:rPr>
        <w:t>Qaujimajatuqangit</w:t>
      </w:r>
    </w:p>
    <w:p w:rsidR="00B16B39" w:rsidRDefault="00B16B39" w:rsidP="00B16B39">
      <w:pPr>
        <w:pStyle w:val="Normaltext2"/>
      </w:pPr>
      <w:r>
        <w:t xml:space="preserve">1. (1) The public education system in Nunavut shall be based on Inuit societal values and the principles and concepts of </w:t>
      </w:r>
      <w:r w:rsidRPr="004F3A38">
        <w:rPr>
          <w:i/>
        </w:rPr>
        <w:t>Inuit</w:t>
      </w:r>
      <w:r>
        <w:t xml:space="preserve"> </w:t>
      </w:r>
      <w:r w:rsidRPr="001F7D8F">
        <w:rPr>
          <w:i/>
        </w:rPr>
        <w:t>Qaujimajatuqangit</w:t>
      </w:r>
      <w:r>
        <w:t>.</w:t>
      </w:r>
    </w:p>
    <w:p w:rsidR="00B16B39" w:rsidRDefault="00B16B39" w:rsidP="00B16B39">
      <w:pPr>
        <w:pStyle w:val="Normaltext2"/>
      </w:pPr>
      <w:r w:rsidRPr="004F3A38">
        <w:rPr>
          <w:i/>
        </w:rPr>
        <w:t xml:space="preserve">Inuit </w:t>
      </w:r>
      <w:r w:rsidRPr="001F7D8F">
        <w:rPr>
          <w:i/>
        </w:rPr>
        <w:t>Qaujimajatuqangit</w:t>
      </w:r>
      <w:r>
        <w:t>; guiding principles and concepts</w:t>
      </w:r>
    </w:p>
    <w:p w:rsidR="00B16B39" w:rsidRDefault="00B16B39" w:rsidP="00B16B39">
      <w:pPr>
        <w:pStyle w:val="Normaltext2"/>
      </w:pPr>
      <w:r>
        <w:t xml:space="preserve"> (2) The following guiding principles and concepts of </w:t>
      </w:r>
      <w:r w:rsidRPr="004F3A38">
        <w:rPr>
          <w:i/>
        </w:rPr>
        <w:t xml:space="preserve">Inuit </w:t>
      </w:r>
      <w:r w:rsidRPr="001F7D8F">
        <w:rPr>
          <w:i/>
        </w:rPr>
        <w:t>Qaujimajatuqangit</w:t>
      </w:r>
      <w:r>
        <w:t xml:space="preserve"> apply under this Act:</w:t>
      </w:r>
    </w:p>
    <w:p w:rsidR="00B16B39" w:rsidRDefault="00B16B39" w:rsidP="00B16B39">
      <w:pPr>
        <w:pStyle w:val="Normaltext3"/>
      </w:pPr>
      <w:r>
        <w:t xml:space="preserve">(a) </w:t>
      </w:r>
      <w:r w:rsidRPr="001F7D8F">
        <w:rPr>
          <w:i/>
        </w:rPr>
        <w:t>Inuuqatigiitsiarniq</w:t>
      </w:r>
      <w:r>
        <w:t xml:space="preserve"> (respecting others, relationships and caring for people);</w:t>
      </w:r>
    </w:p>
    <w:p w:rsidR="00B16B39" w:rsidRDefault="00B16B39" w:rsidP="00B16B39">
      <w:pPr>
        <w:pStyle w:val="Normaltext3"/>
      </w:pPr>
      <w:r>
        <w:t xml:space="preserve">(b) </w:t>
      </w:r>
      <w:r w:rsidRPr="001F7D8F">
        <w:rPr>
          <w:i/>
        </w:rPr>
        <w:t>Tunnganarniq</w:t>
      </w:r>
      <w:r>
        <w:t xml:space="preserve"> (fostering good spirit by being open, welcoming and inclusive);</w:t>
      </w:r>
    </w:p>
    <w:p w:rsidR="00B16B39" w:rsidRDefault="00B16B39" w:rsidP="00B16B39">
      <w:pPr>
        <w:pStyle w:val="Normaltext3"/>
      </w:pPr>
      <w:r>
        <w:t xml:space="preserve">(c) </w:t>
      </w:r>
      <w:r w:rsidRPr="001F7D8F">
        <w:rPr>
          <w:i/>
        </w:rPr>
        <w:t>Pijitsirniq</w:t>
      </w:r>
      <w:r>
        <w:t xml:space="preserve"> (serving and providing for family or community, or both);</w:t>
      </w:r>
    </w:p>
    <w:p w:rsidR="00B16B39" w:rsidRDefault="00B16B39" w:rsidP="00B16B39">
      <w:pPr>
        <w:pStyle w:val="Normaltext3"/>
      </w:pPr>
      <w:r>
        <w:t xml:space="preserve">(d) </w:t>
      </w:r>
      <w:r w:rsidRPr="001F7D8F">
        <w:rPr>
          <w:i/>
        </w:rPr>
        <w:t>Aajiiqatigiinniq</w:t>
      </w:r>
      <w:r>
        <w:t xml:space="preserve"> (decision making through discussion and consensus);</w:t>
      </w:r>
    </w:p>
    <w:p w:rsidR="00B16B39" w:rsidRDefault="00B16B39" w:rsidP="00B16B39">
      <w:pPr>
        <w:pStyle w:val="Normaltext3"/>
      </w:pPr>
      <w:r>
        <w:t xml:space="preserve">(e) </w:t>
      </w:r>
      <w:r w:rsidRPr="001F7D8F">
        <w:rPr>
          <w:i/>
        </w:rPr>
        <w:t>Pilimmaksarniq</w:t>
      </w:r>
      <w:r>
        <w:t xml:space="preserve"> or </w:t>
      </w:r>
      <w:r w:rsidRPr="001F7D8F">
        <w:rPr>
          <w:i/>
        </w:rPr>
        <w:t>Pijariuqsarniq</w:t>
      </w:r>
      <w:r>
        <w:t xml:space="preserve"> (development of skills through practice, effort and action);</w:t>
      </w:r>
    </w:p>
    <w:p w:rsidR="00B16B39" w:rsidRDefault="00B16B39" w:rsidP="00B16B39">
      <w:pPr>
        <w:pStyle w:val="Normaltext3"/>
      </w:pPr>
      <w:r>
        <w:t xml:space="preserve">(f) </w:t>
      </w:r>
      <w:r w:rsidRPr="001F7D8F">
        <w:rPr>
          <w:i/>
        </w:rPr>
        <w:t>Piliriqatigiinniq</w:t>
      </w:r>
      <w:r>
        <w:t xml:space="preserve"> or </w:t>
      </w:r>
      <w:r w:rsidRPr="001F7D8F">
        <w:rPr>
          <w:i/>
        </w:rPr>
        <w:t>Ikajuqtigiinniq</w:t>
      </w:r>
      <w:r>
        <w:t xml:space="preserve"> (working together for a common cause);</w:t>
      </w:r>
    </w:p>
    <w:p w:rsidR="00B16B39" w:rsidRDefault="00B16B39" w:rsidP="00B16B39">
      <w:pPr>
        <w:pStyle w:val="Normaltext3"/>
      </w:pPr>
      <w:r>
        <w:t xml:space="preserve">(g) </w:t>
      </w:r>
      <w:r w:rsidRPr="001F7D8F">
        <w:rPr>
          <w:i/>
        </w:rPr>
        <w:t>Qanuqtuurniq</w:t>
      </w:r>
      <w:r>
        <w:t xml:space="preserve"> (being innovative and resourceful); and</w:t>
      </w:r>
    </w:p>
    <w:p w:rsidR="00B16B39" w:rsidRDefault="00B16B39" w:rsidP="00B16B39">
      <w:pPr>
        <w:pStyle w:val="Normaltext3"/>
      </w:pPr>
      <w:r>
        <w:lastRenderedPageBreak/>
        <w:t xml:space="preserve">(h) </w:t>
      </w:r>
      <w:r w:rsidRPr="001F7D8F">
        <w:rPr>
          <w:i/>
        </w:rPr>
        <w:t>Avatittinnik Kamatsiarniq</w:t>
      </w:r>
      <w:r>
        <w:t xml:space="preserve"> (respect and care for the land, animals and the environment).</w:t>
      </w:r>
    </w:p>
    <w:p w:rsidR="00B16B39" w:rsidRDefault="00B16B39" w:rsidP="00B16B39">
      <w:pPr>
        <w:pStyle w:val="Normaltext2"/>
      </w:pPr>
      <w:r>
        <w:t>Duty of all</w:t>
      </w:r>
    </w:p>
    <w:p w:rsidR="00B16B39" w:rsidRDefault="00B16B39" w:rsidP="00B16B39">
      <w:pPr>
        <w:pStyle w:val="Normaltext2"/>
      </w:pPr>
      <w:r>
        <w:t xml:space="preserve"> (3) It is the responsibility of the Minister, the district education authorities and the education staff to ensure that Inuit societal values and the principles and concepts of </w:t>
      </w:r>
      <w:r w:rsidRPr="004F3A38">
        <w:rPr>
          <w:i/>
        </w:rPr>
        <w:t>Inuit</w:t>
      </w:r>
      <w:r>
        <w:t xml:space="preserve"> </w:t>
      </w:r>
      <w:r w:rsidRPr="001F7D8F">
        <w:rPr>
          <w:i/>
        </w:rPr>
        <w:t xml:space="preserve">Qaujimajatuqangit </w:t>
      </w:r>
      <w:r>
        <w:t>are incorporated throughout, and fostered by, the public education system.</w:t>
      </w:r>
      <w:r>
        <w:rPr>
          <w:rFonts w:eastAsia="Times New Roman"/>
          <w:vertAlign w:val="superscript"/>
        </w:rPr>
        <w:footnoteReference w:id="51"/>
      </w:r>
    </w:p>
    <w:p w:rsidR="00B16B39" w:rsidRDefault="00B16B39" w:rsidP="005A2794">
      <w:pPr>
        <w:pStyle w:val="Normaltext1"/>
      </w:pPr>
      <w:r>
        <w:t xml:space="preserve">This type of application or interpretation provision, including a list of specific principles and concepts of </w:t>
      </w:r>
      <w:r w:rsidRPr="004F3A38">
        <w:rPr>
          <w:i/>
        </w:rPr>
        <w:t>Inuit</w:t>
      </w:r>
      <w:r>
        <w:t xml:space="preserve"> </w:t>
      </w:r>
      <w:r w:rsidRPr="001F7D8F">
        <w:rPr>
          <w:i/>
        </w:rPr>
        <w:t>Qaujimajatuqangit</w:t>
      </w:r>
      <w:r>
        <w:t xml:space="preserve">, exists in other Nunavut legislation, though more recently these principles and concepts have been called “Inuit societal values” to more accurately describe them in English. Statutes that </w:t>
      </w:r>
      <w:r w:rsidR="007F14D5">
        <w:t>contain</w:t>
      </w:r>
      <w:r>
        <w:t xml:space="preserve"> provisions like this include the </w:t>
      </w:r>
      <w:r>
        <w:rPr>
          <w:i/>
          <w:iCs/>
        </w:rPr>
        <w:t>Wildlife Act</w:t>
      </w:r>
      <w:r>
        <w:t xml:space="preserve">, the </w:t>
      </w:r>
      <w:r>
        <w:rPr>
          <w:i/>
          <w:iCs/>
        </w:rPr>
        <w:t>Child and Family Services Act</w:t>
      </w:r>
      <w:r>
        <w:t xml:space="preserve"> and a new </w:t>
      </w:r>
      <w:r>
        <w:rPr>
          <w:i/>
          <w:iCs/>
        </w:rPr>
        <w:t>Public Health Act</w:t>
      </w:r>
      <w:r>
        <w:t xml:space="preserve"> (not in force as of March 2017). Further, the </w:t>
      </w:r>
      <w:r>
        <w:rPr>
          <w:i/>
          <w:iCs/>
        </w:rPr>
        <w:t>Official Languages Act</w:t>
      </w:r>
      <w:r>
        <w:t xml:space="preserve"> and the </w:t>
      </w:r>
      <w:r>
        <w:rPr>
          <w:i/>
          <w:iCs/>
        </w:rPr>
        <w:t>Inuit Language Protection Act</w:t>
      </w:r>
      <w:r>
        <w:t xml:space="preserve"> oblige the Languages Commissioner to act in accordance with a similar list of principles and concepts of </w:t>
      </w:r>
      <w:r w:rsidRPr="004F3A38">
        <w:rPr>
          <w:i/>
        </w:rPr>
        <w:t>Inuit</w:t>
      </w:r>
      <w:r>
        <w:t xml:space="preserve"> </w:t>
      </w:r>
      <w:r w:rsidRPr="001F7D8F">
        <w:rPr>
          <w:i/>
        </w:rPr>
        <w:t>Qaujimajatuqangit</w:t>
      </w:r>
      <w:r>
        <w:t>. This type of approach creates a unique set of challenges.</w:t>
      </w:r>
    </w:p>
    <w:p w:rsidR="00B16B39" w:rsidRDefault="00B16B39" w:rsidP="00B16B39">
      <w:pPr>
        <w:pStyle w:val="Normaltext1"/>
      </w:pPr>
      <w:r>
        <w:t xml:space="preserve">First, such a listing of concepts and principles is limitative in that it appears to include only a small subset of the totality of </w:t>
      </w:r>
      <w:r w:rsidRPr="004F3A38">
        <w:rPr>
          <w:i/>
        </w:rPr>
        <w:t xml:space="preserve">Inuit </w:t>
      </w:r>
      <w:r w:rsidRPr="001F7D8F">
        <w:rPr>
          <w:i/>
        </w:rPr>
        <w:t>Qaujimajatuqangit</w:t>
      </w:r>
      <w:r>
        <w:t xml:space="preserve">. By excluding from such a listing all the other aspects of </w:t>
      </w:r>
      <w:r w:rsidRPr="004F3A38">
        <w:rPr>
          <w:i/>
        </w:rPr>
        <w:t xml:space="preserve">Inuit </w:t>
      </w:r>
      <w:r w:rsidRPr="001F7D8F">
        <w:rPr>
          <w:i/>
        </w:rPr>
        <w:t>Qaujimajatuqangit</w:t>
      </w:r>
      <w:r>
        <w:t xml:space="preserve">, the legislation is certainly more specific, but is also very limited in incorporating the totality of </w:t>
      </w:r>
      <w:r w:rsidRPr="004F3A38">
        <w:rPr>
          <w:i/>
        </w:rPr>
        <w:t xml:space="preserve">Inuit </w:t>
      </w:r>
      <w:r w:rsidRPr="001F7D8F">
        <w:rPr>
          <w:i/>
        </w:rPr>
        <w:t>Qaujimajatuqangit</w:t>
      </w:r>
      <w:r>
        <w:t xml:space="preserve">. </w:t>
      </w:r>
    </w:p>
    <w:p w:rsidR="00B16B39" w:rsidRDefault="00B16B39" w:rsidP="00B16B39">
      <w:pPr>
        <w:pStyle w:val="Normaltext1"/>
      </w:pPr>
      <w:r>
        <w:t xml:space="preserve">Second, as can be seen above, there are a number of Inuit language terms that have English descriptions in brackets. However, these English descriptions can be deceiving. For example, the first in the list above is </w:t>
      </w:r>
      <w:r w:rsidRPr="001F7D8F">
        <w:rPr>
          <w:i/>
        </w:rPr>
        <w:t>Inuuqatigiitsiarniq</w:t>
      </w:r>
      <w:r>
        <w:t xml:space="preserve">, with the following description in English: “respecting others, relationships and caring for people”. </w:t>
      </w:r>
      <w:r w:rsidR="005A2794">
        <w:t>R</w:t>
      </w:r>
      <w:r>
        <w:t xml:space="preserve">espect of others in the context of Inuit culture and custom is not necessarily achieved or expressed in the same manner as respect of others in southern Canadian culture. For this provision to have its full intended meaning, the English reader not only has to understand the English description, but also understand the context in which the Inuit language principle developed. </w:t>
      </w:r>
    </w:p>
    <w:p w:rsidR="00B16B39" w:rsidRDefault="00B16B39" w:rsidP="00B16B39">
      <w:pPr>
        <w:pStyle w:val="Normaltext1"/>
      </w:pPr>
      <w:r>
        <w:t xml:space="preserve">Subsection 3(2) of the </w:t>
      </w:r>
      <w:r>
        <w:rPr>
          <w:i/>
          <w:iCs/>
        </w:rPr>
        <w:t>Wildlife Act</w:t>
      </w:r>
      <w:r>
        <w:t xml:space="preserve"> goes a step further by providing that the Inuit language may be used to interpret this type of provision:</w:t>
      </w:r>
    </w:p>
    <w:p w:rsidR="00B16B39" w:rsidRDefault="00B16B39" w:rsidP="00B16B39">
      <w:pPr>
        <w:pStyle w:val="Normaltext2"/>
      </w:pPr>
      <w:r>
        <w:t>The Inuit Language</w:t>
      </w:r>
    </w:p>
    <w:p w:rsidR="00B16B39" w:rsidRDefault="00B16B39" w:rsidP="00B16B39">
      <w:pPr>
        <w:pStyle w:val="Normaltext2"/>
      </w:pPr>
      <w:r>
        <w:t xml:space="preserve">3. (2) The Inuit Language, or the appropriate dialect of the Inuit Language, may be used to interpret the meaning of any guiding principle or concept of </w:t>
      </w:r>
      <w:r w:rsidRPr="004F3A38">
        <w:rPr>
          <w:i/>
        </w:rPr>
        <w:t xml:space="preserve">Inuit </w:t>
      </w:r>
      <w:r w:rsidRPr="001F7D8F">
        <w:rPr>
          <w:i/>
        </w:rPr>
        <w:t>Qaujimajatuqangit</w:t>
      </w:r>
      <w:r>
        <w:t xml:space="preserve"> used in this Act.</w:t>
      </w:r>
      <w:r>
        <w:rPr>
          <w:rStyle w:val="FootnoteReference"/>
        </w:rPr>
        <w:footnoteReference w:id="52"/>
      </w:r>
    </w:p>
    <w:p w:rsidR="00B16B39" w:rsidRDefault="00B16B39" w:rsidP="00B16B39">
      <w:pPr>
        <w:pStyle w:val="Normaltext1"/>
      </w:pPr>
      <w:r>
        <w:lastRenderedPageBreak/>
        <w:t xml:space="preserve">It is not clear if such a provision would pass muster under Nunavut’s </w:t>
      </w:r>
      <w:r>
        <w:rPr>
          <w:i/>
          <w:iCs/>
        </w:rPr>
        <w:t>Official Languages Act</w:t>
      </w:r>
      <w:r>
        <w:t>,</w:t>
      </w:r>
      <w:r>
        <w:rPr>
          <w:rStyle w:val="FootnoteReference"/>
          <w:rFonts w:eastAsia="Arial Unicode MS"/>
        </w:rPr>
        <w:footnoteReference w:id="53"/>
      </w:r>
      <w:r>
        <w:t xml:space="preserve"> which requires authoritative versions of legislation in both English and French – can an Act enacted in English and French allow or oblige resort to another language for interpretational purposes?</w:t>
      </w:r>
    </w:p>
    <w:p w:rsidR="00B16B39" w:rsidRDefault="00B16B39" w:rsidP="00B16B39">
      <w:pPr>
        <w:pStyle w:val="Normaltext1"/>
      </w:pPr>
      <w:r>
        <w:t xml:space="preserve">Third, this type of provision leaves it to the reader of legislation to apply the appropriate principles and concepts of </w:t>
      </w:r>
      <w:r w:rsidRPr="004F3A38">
        <w:rPr>
          <w:i/>
        </w:rPr>
        <w:t xml:space="preserve">Inuit </w:t>
      </w:r>
      <w:r w:rsidRPr="001F7D8F">
        <w:rPr>
          <w:i/>
        </w:rPr>
        <w:t>Qaujimajatuqangit</w:t>
      </w:r>
      <w:r>
        <w:t>. This can work where the reader either has a thorough knowledge of the applicable principle or concept and an understanding of how to apply it to situations as they arise, or has the time and ability to gather information and advice respecting the applicable principle or concept before taking action. Therefore, this type of application or interpretation provision can be useful in legislation when two criteria are met:</w:t>
      </w:r>
    </w:p>
    <w:p w:rsidR="00B16B39" w:rsidRDefault="005A2794" w:rsidP="00B16B39">
      <w:pPr>
        <w:pStyle w:val="Bullet1"/>
        <w:numPr>
          <w:ilvl w:val="0"/>
          <w:numId w:val="34"/>
        </w:numPr>
        <w:pBdr>
          <w:top w:val="nil"/>
          <w:left w:val="nil"/>
          <w:bottom w:val="nil"/>
          <w:right w:val="nil"/>
          <w:between w:val="nil"/>
          <w:bar w:val="nil"/>
        </w:pBdr>
        <w:overflowPunct/>
        <w:autoSpaceDE/>
        <w:autoSpaceDN/>
        <w:adjustRightInd/>
        <w:contextualSpacing w:val="0"/>
        <w:textAlignment w:val="auto"/>
      </w:pPr>
      <w:r>
        <w:t>t</w:t>
      </w:r>
      <w:r w:rsidR="00B16B39">
        <w:t>here is broad discretion on the decision-maker, whereby the legislation gives the decision-maker the necessary freedom and latitude to design a decision that accords with the listed concepts and principles; and</w:t>
      </w:r>
    </w:p>
    <w:p w:rsidR="00B16B39" w:rsidRDefault="005A2794" w:rsidP="00B16B39">
      <w:pPr>
        <w:pStyle w:val="Bullet1"/>
        <w:numPr>
          <w:ilvl w:val="0"/>
          <w:numId w:val="34"/>
        </w:numPr>
        <w:pBdr>
          <w:top w:val="nil"/>
          <w:left w:val="nil"/>
          <w:bottom w:val="nil"/>
          <w:right w:val="nil"/>
          <w:between w:val="nil"/>
          <w:bar w:val="nil"/>
        </w:pBdr>
        <w:overflowPunct/>
        <w:autoSpaceDE/>
        <w:autoSpaceDN/>
        <w:adjustRightInd/>
        <w:contextualSpacing w:val="0"/>
        <w:textAlignment w:val="auto"/>
      </w:pPr>
      <w:r>
        <w:t>t</w:t>
      </w:r>
      <w:r w:rsidR="00B16B39">
        <w:t>he decision-maker has sufficient time and ability to design a decision that accords with the listed concepts and principles, and to consult those with knowledge of those concepts and principles before making the decision, if necessary.</w:t>
      </w:r>
    </w:p>
    <w:p w:rsidR="00B16B39" w:rsidRDefault="00B16B39" w:rsidP="00B16B39">
      <w:pPr>
        <w:pStyle w:val="Heading3"/>
      </w:pPr>
      <w:bookmarkStart w:id="332" w:name="_Toc501713660"/>
      <w:bookmarkStart w:id="333" w:name="_Toc503170550"/>
      <w:bookmarkStart w:id="334" w:name="_Toc503290269"/>
      <w:bookmarkStart w:id="335" w:name="_Toc504579933"/>
      <w:r>
        <w:t>Some different approaches from the present and past</w:t>
      </w:r>
      <w:bookmarkEnd w:id="332"/>
      <w:bookmarkEnd w:id="333"/>
      <w:bookmarkEnd w:id="334"/>
      <w:bookmarkEnd w:id="335"/>
    </w:p>
    <w:p w:rsidR="00B16B39" w:rsidRDefault="00B16B39" w:rsidP="00B16B39">
      <w:pPr>
        <w:pStyle w:val="Normaltext1"/>
      </w:pPr>
      <w:r>
        <w:t xml:space="preserve">As indicated above, application or interpretation provisions have their limits, and there exist a few other approaches to the incorporation of </w:t>
      </w:r>
      <w:r w:rsidRPr="00D53978">
        <w:rPr>
          <w:i/>
        </w:rPr>
        <w:t>Inuit Qaujimajatuqangit</w:t>
      </w:r>
      <w:r>
        <w:t xml:space="preserve"> into legislation. </w:t>
      </w:r>
    </w:p>
    <w:p w:rsidR="00B16B39" w:rsidRDefault="00B16B39" w:rsidP="00B16B39">
      <w:pPr>
        <w:pStyle w:val="Heading4"/>
      </w:pPr>
      <w:r>
        <w:rPr>
          <w:rFonts w:eastAsia="Arial Unicode MS" w:cs="Arial Unicode MS"/>
        </w:rPr>
        <w:t>Direct Reference</w:t>
      </w:r>
    </w:p>
    <w:p w:rsidR="00B16B39" w:rsidRDefault="00B16B39" w:rsidP="00B16B39">
      <w:pPr>
        <w:pStyle w:val="Normaltext1"/>
      </w:pPr>
      <w:r>
        <w:t>A number of Acts that are the responsibility of the Legislative Assembly</w:t>
      </w:r>
      <w:r>
        <w:rPr>
          <w:rFonts w:eastAsia="Times New Roman"/>
          <w:vertAlign w:val="superscript"/>
        </w:rPr>
        <w:footnoteReference w:id="54"/>
      </w:r>
      <w:r>
        <w:t xml:space="preserve"> have provisions similar to those being repealed from the </w:t>
      </w:r>
      <w:r>
        <w:rPr>
          <w:i/>
          <w:iCs/>
        </w:rPr>
        <w:t>Education Act</w:t>
      </w:r>
      <w:r>
        <w:t xml:space="preserve">. However, unlike the </w:t>
      </w:r>
      <w:r>
        <w:rPr>
          <w:i/>
          <w:iCs/>
        </w:rPr>
        <w:t>Education Act</w:t>
      </w:r>
      <w:r>
        <w:t>, these Acts do not have an application or interpretation provision. Some examples are provided in Appendix B.</w:t>
      </w:r>
    </w:p>
    <w:p w:rsidR="00B16B39" w:rsidRDefault="00B16B39" w:rsidP="00B16B39">
      <w:pPr>
        <w:pStyle w:val="Normaltext1"/>
      </w:pPr>
      <w:r>
        <w:t xml:space="preserve">These provisions presuppose that those taking any action under them have a fulsome understanding of how </w:t>
      </w:r>
      <w:r w:rsidRPr="00D53978">
        <w:rPr>
          <w:i/>
        </w:rPr>
        <w:t xml:space="preserve">Inuit </w:t>
      </w:r>
      <w:r w:rsidRPr="001F7D8F">
        <w:rPr>
          <w:i/>
        </w:rPr>
        <w:t>Qaujimajatuqangit</w:t>
      </w:r>
      <w:r>
        <w:t xml:space="preserve"> applies to the specific situations faced by them. Ideally, these types of provisions should be reserved for situations where the person to whom the provision applies does have such an understanding, or is able to consult sufficiently to gain a sufficient understanding. Therefore, such a provision would ideally not be used where the rights or obligations of a private citizen are at stake, as the private citizen </w:t>
      </w:r>
      <w:r>
        <w:lastRenderedPageBreak/>
        <w:t xml:space="preserve">may have a difficult time determining the extent of those rights and obligations without sufficient knowledge of </w:t>
      </w:r>
      <w:r w:rsidRPr="00D53978">
        <w:rPr>
          <w:i/>
        </w:rPr>
        <w:t xml:space="preserve">Inuit </w:t>
      </w:r>
      <w:r w:rsidRPr="00457983">
        <w:rPr>
          <w:i/>
        </w:rPr>
        <w:t>Qaujimajatuqangit</w:t>
      </w:r>
      <w:r>
        <w:t xml:space="preserve">. </w:t>
      </w:r>
    </w:p>
    <w:p w:rsidR="00B16B39" w:rsidRDefault="00B16B39" w:rsidP="00B16B39">
      <w:pPr>
        <w:pStyle w:val="Heading4"/>
      </w:pPr>
      <w:r>
        <w:rPr>
          <w:rFonts w:eastAsia="Arial Unicode MS" w:cs="Arial Unicode MS"/>
        </w:rPr>
        <w:t>Purpose clauses</w:t>
      </w:r>
    </w:p>
    <w:p w:rsidR="00B16B39" w:rsidRDefault="00B16B39" w:rsidP="00B16B39">
      <w:pPr>
        <w:pStyle w:val="Normaltext1"/>
      </w:pPr>
      <w:r>
        <w:t xml:space="preserve">Two pieces of legislation include purpose clauses referencing </w:t>
      </w:r>
      <w:r w:rsidRPr="00D53978">
        <w:rPr>
          <w:i/>
        </w:rPr>
        <w:t xml:space="preserve">Inuit </w:t>
      </w:r>
      <w:r w:rsidRPr="00457983">
        <w:rPr>
          <w:i/>
        </w:rPr>
        <w:t xml:space="preserve">Qaujimajatuqangit </w:t>
      </w:r>
      <w:r>
        <w:t>or Inuit societal values:</w:t>
      </w:r>
    </w:p>
    <w:p w:rsidR="00B16B39" w:rsidRDefault="00B16B39" w:rsidP="00B16B39">
      <w:pPr>
        <w:pStyle w:val="Normaltext2"/>
      </w:pPr>
      <w:r>
        <w:rPr>
          <w:i/>
          <w:iCs/>
        </w:rPr>
        <w:t>Human Rights Act</w:t>
      </w:r>
    </w:p>
    <w:p w:rsidR="00B16B39" w:rsidRDefault="00B16B39" w:rsidP="00B16B39">
      <w:pPr>
        <w:pStyle w:val="Normaltext2"/>
      </w:pPr>
      <w:r>
        <w:t xml:space="preserve">Purpose </w:t>
      </w:r>
    </w:p>
    <w:p w:rsidR="00B16B39" w:rsidRDefault="00B16B39" w:rsidP="00B16B39">
      <w:pPr>
        <w:pStyle w:val="Normaltext2"/>
      </w:pPr>
      <w:r>
        <w:t>2.</w:t>
      </w:r>
      <w:r>
        <w:tab/>
        <w:t xml:space="preserve">The purposes of this Act are to acknowledge within the framework of </w:t>
      </w:r>
      <w:r w:rsidRPr="00D53978">
        <w:rPr>
          <w:i/>
        </w:rPr>
        <w:t>Inuit</w:t>
      </w:r>
      <w:r>
        <w:t xml:space="preserve"> </w:t>
      </w:r>
      <w:r w:rsidRPr="00457983">
        <w:rPr>
          <w:i/>
        </w:rPr>
        <w:t>Qaujimajatuqangit</w:t>
      </w:r>
      <w:r>
        <w:t xml:space="preserve"> that the Government, all public agencies, boards and commissions and all persons in Nunavut have the responsibility to guarantee that every individual in Nunavut is afforded an equal opportunity to enjoy a full and productive life and that failure to provide equality of opportunity threatens the development and well-being of all persons in the community.</w:t>
      </w:r>
      <w:r>
        <w:rPr>
          <w:rStyle w:val="FootnoteReference"/>
        </w:rPr>
        <w:footnoteReference w:id="55"/>
      </w:r>
      <w:r>
        <w:t xml:space="preserve"> </w:t>
      </w:r>
    </w:p>
    <w:p w:rsidR="00B16B39" w:rsidRDefault="00B16B39" w:rsidP="00B16B39">
      <w:pPr>
        <w:pStyle w:val="Normaltext2"/>
        <w:keepNext/>
        <w:ind w:left="1208"/>
      </w:pPr>
      <w:r>
        <w:rPr>
          <w:i/>
          <w:iCs/>
        </w:rPr>
        <w:t>Unlawful Property Forfeiture Act</w:t>
      </w:r>
      <w:r>
        <w:t xml:space="preserve"> (not in force as of March 2017)</w:t>
      </w:r>
    </w:p>
    <w:p w:rsidR="00B16B39" w:rsidRDefault="00B16B39" w:rsidP="00B16B39">
      <w:pPr>
        <w:pStyle w:val="Normaltext2"/>
        <w:keepNext/>
        <w:ind w:left="1208"/>
      </w:pPr>
      <w:r>
        <w:t>Purpose</w:t>
      </w:r>
    </w:p>
    <w:p w:rsidR="00B16B39" w:rsidRDefault="00B16B39" w:rsidP="00B16B39">
      <w:pPr>
        <w:pStyle w:val="Normaltext2"/>
      </w:pPr>
      <w:r>
        <w:t>2. The purpose of this Act is to promote safe and healthy communities in accordance with Inuit societal values by providing civil remedies that will</w:t>
      </w:r>
    </w:p>
    <w:p w:rsidR="00B16B39" w:rsidRDefault="00B16B39" w:rsidP="00B16B39">
      <w:pPr>
        <w:pStyle w:val="Normaltext3"/>
      </w:pPr>
      <w:r>
        <w:t>(a) prevent people who engage in unlawful activities and others from keeping property that was acquired as a result of unlawful activities;</w:t>
      </w:r>
    </w:p>
    <w:p w:rsidR="00B16B39" w:rsidRDefault="00B16B39" w:rsidP="00B16B39">
      <w:pPr>
        <w:pStyle w:val="Normaltext3"/>
      </w:pPr>
      <w:r>
        <w:t>(b) prevent property from being used to engage in unlawful activities; and</w:t>
      </w:r>
    </w:p>
    <w:p w:rsidR="00B16B39" w:rsidRDefault="00B16B39" w:rsidP="00B16B39">
      <w:pPr>
        <w:pStyle w:val="Normaltext3"/>
      </w:pPr>
      <w:r>
        <w:t>(c) allow for the disposition of property derived from or used to engage in unlawful activities to socially useful purposes such as providing assistance for victims of crime and funding community-based wellness programs.</w:t>
      </w:r>
      <w:r>
        <w:rPr>
          <w:vertAlign w:val="superscript"/>
        </w:rPr>
        <w:footnoteReference w:id="56"/>
      </w:r>
    </w:p>
    <w:p w:rsidR="00B16B39" w:rsidRDefault="00B16B39" w:rsidP="00B16B39">
      <w:pPr>
        <w:pStyle w:val="Normaltext1"/>
      </w:pPr>
      <w:r>
        <w:t xml:space="preserve">Purpose clauses that include a reference to </w:t>
      </w:r>
      <w:r w:rsidRPr="00D53978">
        <w:rPr>
          <w:i/>
        </w:rPr>
        <w:t>Inuit</w:t>
      </w:r>
      <w:r>
        <w:t xml:space="preserve"> </w:t>
      </w:r>
      <w:r w:rsidRPr="00457983">
        <w:rPr>
          <w:i/>
        </w:rPr>
        <w:t>Qaujimajatuqangit</w:t>
      </w:r>
      <w:r>
        <w:t xml:space="preserve"> or Inuit societal values should be limited to legislation designed from the start to accord with </w:t>
      </w:r>
      <w:r w:rsidRPr="00D53978">
        <w:rPr>
          <w:i/>
        </w:rPr>
        <w:t>Inuit</w:t>
      </w:r>
      <w:r>
        <w:t xml:space="preserve"> </w:t>
      </w:r>
      <w:r w:rsidRPr="00457983">
        <w:rPr>
          <w:i/>
        </w:rPr>
        <w:t>Qaujimajatuqangit</w:t>
      </w:r>
      <w:r>
        <w:t xml:space="preserve"> or Inuit societal values. Therefore, it should generally be used only in totally new Acts, as older Acts may not have been developed taking them into consideration. </w:t>
      </w:r>
    </w:p>
    <w:p w:rsidR="00B16B39" w:rsidRDefault="00B16B39" w:rsidP="00B16B39">
      <w:pPr>
        <w:pStyle w:val="Normaltext1"/>
      </w:pPr>
      <w:r>
        <w:t>Purpose clauses also do not add much to the actual rules in the legislation, but rather explain the reason for the existence of the rules. This may help a judge or decision-maker understand the reason behind a specific rule and perhaps aid in interpreting an ambiguous provision, but it cannot override an otherwise clear provision of the law.</w:t>
      </w:r>
    </w:p>
    <w:p w:rsidR="00B16B39" w:rsidRDefault="00B16B39" w:rsidP="00B16B39">
      <w:pPr>
        <w:pStyle w:val="Heading4"/>
      </w:pPr>
      <w:r>
        <w:rPr>
          <w:rFonts w:eastAsia="Arial Unicode MS" w:cs="Arial Unicode MS"/>
        </w:rPr>
        <w:lastRenderedPageBreak/>
        <w:t>Extending common law to include elements of Inuit Qaujimajatuqangit</w:t>
      </w:r>
    </w:p>
    <w:p w:rsidR="00B16B39" w:rsidRDefault="00B16B39" w:rsidP="00B16B39">
      <w:pPr>
        <w:pStyle w:val="Normaltext1"/>
      </w:pPr>
      <w:r>
        <w:t xml:space="preserve">The </w:t>
      </w:r>
      <w:r>
        <w:rPr>
          <w:i/>
          <w:iCs/>
        </w:rPr>
        <w:t>Unlawful Property Forfeiture Act</w:t>
      </w:r>
      <w:r>
        <w:t xml:space="preserve"> also has another kind of provision that provides an effective defence against forfeiture that an owner can use with respect to property used by another as an instrument of unlawful activity:</w:t>
      </w:r>
    </w:p>
    <w:p w:rsidR="00B16B39" w:rsidRDefault="00B16B39" w:rsidP="00B16B39">
      <w:pPr>
        <w:pStyle w:val="Normaltext2"/>
      </w:pPr>
      <w:r>
        <w:t>Reasonable action</w:t>
      </w:r>
    </w:p>
    <w:p w:rsidR="00B16B39" w:rsidRDefault="00B16B39" w:rsidP="00B16B39">
      <w:pPr>
        <w:pStyle w:val="Normaltext2"/>
      </w:pPr>
      <w:r>
        <w:t>15. For the purposes of subsection 13(3) and paragraph 14(2)(b), reasonable action to prevent property from being used to engage in unlawful activity includes, but is not limited to,</w:t>
      </w:r>
    </w:p>
    <w:p w:rsidR="00B16B39" w:rsidRDefault="00B16B39" w:rsidP="00B16B39">
      <w:pPr>
        <w:pStyle w:val="Normaltext3"/>
      </w:pPr>
      <w:r>
        <w:t>…</w:t>
      </w:r>
    </w:p>
    <w:p w:rsidR="00B16B39" w:rsidRDefault="00B16B39" w:rsidP="00B16B39">
      <w:pPr>
        <w:pStyle w:val="Normaltext3"/>
      </w:pPr>
      <w:r>
        <w:t>(c) taking action that, in accordance with traditional Inuit societal practices, was reasonable in the circumstances to prevent the property from being used to engage in unlawful activity.</w:t>
      </w:r>
    </w:p>
    <w:p w:rsidR="00B16B39" w:rsidRDefault="00B16B39" w:rsidP="00B16B39">
      <w:pPr>
        <w:pStyle w:val="Normaltext1"/>
      </w:pPr>
      <w:r>
        <w:t xml:space="preserve">This type of provision is unique in Nunavut, in that it specifically allows a defence against legal action based on what is effectively an element of </w:t>
      </w:r>
      <w:r w:rsidRPr="00D53978">
        <w:rPr>
          <w:i/>
        </w:rPr>
        <w:t xml:space="preserve">Inuit </w:t>
      </w:r>
      <w:r w:rsidRPr="00457983">
        <w:rPr>
          <w:i/>
        </w:rPr>
        <w:t>Qaujimajatuqangit</w:t>
      </w:r>
      <w:r>
        <w:t xml:space="preserve">. This basically extends the common law concept of reasonableness to import Inuit concepts of reasonableness, and it does beg the question whether the common law of Nunavut should, as a whole, be more accommodating of </w:t>
      </w:r>
      <w:r w:rsidRPr="00D53978">
        <w:rPr>
          <w:i/>
        </w:rPr>
        <w:t xml:space="preserve">Inuit </w:t>
      </w:r>
      <w:r w:rsidRPr="00457983">
        <w:rPr>
          <w:i/>
        </w:rPr>
        <w:t>Qaujimajatuqangit</w:t>
      </w:r>
      <w:r>
        <w:t>.</w:t>
      </w:r>
    </w:p>
    <w:p w:rsidR="00B16B39" w:rsidRDefault="00B16B39" w:rsidP="00B16B39">
      <w:pPr>
        <w:pStyle w:val="Normaltext1"/>
      </w:pPr>
      <w:r>
        <w:t>This type of provision is useful in the judicial or quasi-judicial context, particularly where there are clear differences in Inuit and non-Inuit norms of behaviour that could have an effect on the outcome of a specific matter. The above provision, for example, brings to mind the fact that Inuit, particularly in smaller communities, have a sharing culture that is much more vibrant than in mainstream southern Canada, and therefore as a matter of common practice do not necessarily exercise the same level of control over their private property as someone in southern Canada would be expected to exercise.</w:t>
      </w:r>
    </w:p>
    <w:p w:rsidR="00B16B39" w:rsidRDefault="00B16B39" w:rsidP="00B16B39">
      <w:pPr>
        <w:pStyle w:val="Heading4"/>
      </w:pPr>
      <w:r>
        <w:rPr>
          <w:rFonts w:eastAsia="Arial Unicode MS" w:cs="Arial Unicode MS"/>
        </w:rPr>
        <w:t>Recommendatory bodies</w:t>
      </w:r>
    </w:p>
    <w:p w:rsidR="00B16B39" w:rsidRDefault="00B16B39" w:rsidP="00B16B39">
      <w:pPr>
        <w:pStyle w:val="Normaltext1"/>
      </w:pPr>
      <w:r>
        <w:t xml:space="preserve">A new type of provision with respect to </w:t>
      </w:r>
      <w:r w:rsidRPr="00D53978">
        <w:rPr>
          <w:i/>
        </w:rPr>
        <w:t>Inuit</w:t>
      </w:r>
      <w:r>
        <w:t xml:space="preserve"> </w:t>
      </w:r>
      <w:r w:rsidRPr="00457983">
        <w:rPr>
          <w:i/>
        </w:rPr>
        <w:t>Qaujimajatuqangit</w:t>
      </w:r>
      <w:r>
        <w:t xml:space="preserve"> was introduced in March 2017 as part of a Bill for a new </w:t>
      </w:r>
      <w:r>
        <w:rPr>
          <w:i/>
          <w:iCs/>
        </w:rPr>
        <w:t>Corrections Act</w:t>
      </w:r>
      <w:r>
        <w:t>. That Act, if passed by the Legislative Assembly, would create an Inuit Societal Values Committee, made up mostly of members from outside the correctional system, with functions as follows:</w:t>
      </w:r>
    </w:p>
    <w:p w:rsidR="00B16B39" w:rsidRDefault="00B16B39" w:rsidP="00B16B39">
      <w:pPr>
        <w:pStyle w:val="Normaltext2"/>
      </w:pPr>
      <w:r>
        <w:t>Powers</w:t>
      </w:r>
    </w:p>
    <w:p w:rsidR="00B16B39" w:rsidRDefault="00B16B39" w:rsidP="00B16B39">
      <w:pPr>
        <w:pStyle w:val="Normaltext2"/>
      </w:pPr>
      <w:r>
        <w:t>59. (1) The Committee may</w:t>
      </w:r>
    </w:p>
    <w:p w:rsidR="00B16B39" w:rsidRDefault="00B16B39" w:rsidP="00B16B39">
      <w:pPr>
        <w:pStyle w:val="Normaltext3"/>
      </w:pPr>
      <w:r>
        <w:t>(a) receive and hear submissions and suggestions from individuals and groups concerning the incorporation of Inuit perspectives, Inuit societal values and Inuit traditional knowledge in the corrections system, and in particular in programs offered in the corrections system;</w:t>
      </w:r>
    </w:p>
    <w:p w:rsidR="00B16B39" w:rsidRDefault="00B16B39" w:rsidP="00B16B39">
      <w:pPr>
        <w:pStyle w:val="Normaltext3"/>
      </w:pPr>
      <w:r>
        <w:lastRenderedPageBreak/>
        <w:t>(b) receive requests from the Director or the Investigations Officer under subsection (3);</w:t>
      </w:r>
    </w:p>
    <w:p w:rsidR="00B16B39" w:rsidRDefault="00B16B39" w:rsidP="00B16B39">
      <w:pPr>
        <w:pStyle w:val="Normaltext3"/>
      </w:pPr>
      <w:r>
        <w:t>(c) recommend policies and practices to better incorporate Inuit perspectives, Inuit societal values and Inuit traditional knowledge in the corrections system; and</w:t>
      </w:r>
    </w:p>
    <w:p w:rsidR="00B16B39" w:rsidRDefault="00B16B39" w:rsidP="00B16B39">
      <w:pPr>
        <w:pStyle w:val="Normaltext3"/>
      </w:pPr>
      <w:r>
        <w:t>(d) recommend new correctional programs or amendments to existing correctional programs to better incorporate Inuit perspectives, Inuit societal values and Inuit traditional knowledge in the corrections system.</w:t>
      </w:r>
    </w:p>
    <w:p w:rsidR="00B16B39" w:rsidRDefault="00B16B39" w:rsidP="00B16B39">
      <w:pPr>
        <w:pStyle w:val="Normaltext2"/>
      </w:pPr>
      <w:r>
        <w:tab/>
        <w:t>…</w:t>
      </w:r>
    </w:p>
    <w:p w:rsidR="00B16B39" w:rsidRDefault="00B16B39" w:rsidP="00B16B39">
      <w:pPr>
        <w:pStyle w:val="Normaltext2"/>
      </w:pPr>
      <w:r>
        <w:t xml:space="preserve">Director's and Investigations Officer's request </w:t>
      </w:r>
    </w:p>
    <w:p w:rsidR="00B16B39" w:rsidRDefault="00B16B39" w:rsidP="00B16B39">
      <w:pPr>
        <w:pStyle w:val="Normaltext2"/>
      </w:pPr>
      <w:r>
        <w:t>(3) The Director and the Investigations Officer, individually or jointly, may submit a request to the Committee respecting any matter on which the Director or Investigations Officer requires the input of the Committee.</w:t>
      </w:r>
      <w:r>
        <w:rPr>
          <w:rStyle w:val="FootnoteReference"/>
        </w:rPr>
        <w:footnoteReference w:id="57"/>
      </w:r>
    </w:p>
    <w:p w:rsidR="00B16B39" w:rsidRDefault="00B16B39" w:rsidP="00B16B39">
      <w:pPr>
        <w:pStyle w:val="Normaltext1"/>
      </w:pPr>
      <w:r>
        <w:t>This type of committee may be particularly useful in contexts that are foreign to the traditional Inuit worldview. Imprisonment was not practiced in traditional Inuit legal systems, and therefore direct comparisons with the past are impossible to make. On the other hand, preventing the recurrence of wrongdoing was part of traditional Inuit legal systems.</w:t>
      </w:r>
      <w:r>
        <w:rPr>
          <w:rFonts w:eastAsia="Times New Roman"/>
          <w:vertAlign w:val="superscript"/>
        </w:rPr>
        <w:footnoteReference w:id="58"/>
      </w:r>
      <w:r>
        <w:t xml:space="preserve"> A committee is able to take a longer term, independent look at the integration of Inuit perspectives, societal values and traditional knowledge into the imported corrections system. A committee, however, would likely be less useful where an urgent response to a situation is needed.</w:t>
      </w:r>
    </w:p>
    <w:p w:rsidR="00B16B39" w:rsidRDefault="00B16B39" w:rsidP="00B16B39">
      <w:pPr>
        <w:pStyle w:val="Normaltext1"/>
      </w:pPr>
      <w:r>
        <w:t xml:space="preserve">This type of approach is new, and time will tell how effective it will be – or even if it will be enacted into law by the Legislature. However, it will most likely be effective in similar contexts where the goals of the traditional approach and the imported approach are similar, but the methods vastly different. A committee may be able to find ways to bring the imported methods closer to the traditional methods, hopefully thereby improving on the ability to reach the shared goals. </w:t>
      </w:r>
    </w:p>
    <w:p w:rsidR="00B16B39" w:rsidRDefault="00B16B39" w:rsidP="00B16B39">
      <w:pPr>
        <w:pStyle w:val="Heading4"/>
      </w:pPr>
      <w:r>
        <w:rPr>
          <w:rFonts w:eastAsia="Arial Unicode MS" w:cs="Arial Unicode MS"/>
        </w:rPr>
        <w:t xml:space="preserve">Recognition of traditional Inuit law </w:t>
      </w:r>
    </w:p>
    <w:p w:rsidR="00B16B39" w:rsidRDefault="00B16B39" w:rsidP="00B16B39">
      <w:pPr>
        <w:pStyle w:val="Normaltext1"/>
      </w:pPr>
      <w:r>
        <w:t xml:space="preserve">As indicated above, the Inuit did have a system of laws based on custom. These were not written, as the Inuit did not have a system of writing until the arrival of the missionaries. The laws were passed down from generation to generation. However, only one part of that traditional legal system has been directly incorporated by legislation into Nunavut’s legal system: custom adoption. This incorporation pre-dates the creation of Nunavut, with the passing of the Northwest Territories </w:t>
      </w:r>
      <w:r>
        <w:rPr>
          <w:i/>
          <w:iCs/>
        </w:rPr>
        <w:t>Aboriginal Custom Adoption Act</w:t>
      </w:r>
      <w:r>
        <w:t xml:space="preserve"> in 1994, which </w:t>
      </w:r>
      <w:r>
        <w:lastRenderedPageBreak/>
        <w:t xml:space="preserve">Nunavut inherited when it was created in 1999. The key provisions of this Act as well as the provisions of the </w:t>
      </w:r>
      <w:r>
        <w:rPr>
          <w:i/>
          <w:iCs/>
        </w:rPr>
        <w:t>Vital Statistics Act</w:t>
      </w:r>
      <w:r>
        <w:t xml:space="preserve"> that it amended can be found in Appendix C.  Inuit custom adoption has also received some judicial treatment, and a description of the custom can be found in the Nunavut Court of Justice decision </w:t>
      </w:r>
      <w:r>
        <w:rPr>
          <w:i/>
          <w:iCs/>
        </w:rPr>
        <w:t>S.K.K. v. J.S</w:t>
      </w:r>
      <w:r>
        <w:t>.,</w:t>
      </w:r>
      <w:r>
        <w:rPr>
          <w:rStyle w:val="FootnoteReference"/>
        </w:rPr>
        <w:footnoteReference w:id="59"/>
      </w:r>
      <w:r>
        <w:t xml:space="preserve">  excerpts of which can also be found in Appendix C. </w:t>
      </w:r>
    </w:p>
    <w:p w:rsidR="00B16B39" w:rsidRDefault="00B16B39" w:rsidP="00B16B39">
      <w:pPr>
        <w:pStyle w:val="Normaltext1"/>
      </w:pPr>
      <w:r>
        <w:t xml:space="preserve">The legislation and case law respecting Inuit custom adoption indicate how </w:t>
      </w:r>
      <w:r w:rsidRPr="00D53978">
        <w:rPr>
          <w:i/>
        </w:rPr>
        <w:t xml:space="preserve">Inuit </w:t>
      </w:r>
      <w:r w:rsidRPr="00457983">
        <w:rPr>
          <w:i/>
        </w:rPr>
        <w:t>Qaujimajatuqangit</w:t>
      </w:r>
      <w:r>
        <w:t xml:space="preserve">, including traditional Inuit law, is difficult to square with the imported legal system. The use of the word ‘adoption’ takes on a very different meaning for Inuit than it does for mainstream southern Canadians. Parentage for the Inuit can considerably more fluid. Therefore, care has to be taken when using an English word for an Inuit word or concept – the Inuit word or concept may contain nuances that are quite different from the nuances of the English word. </w:t>
      </w:r>
    </w:p>
    <w:p w:rsidR="00B16B39" w:rsidRDefault="00B16B39" w:rsidP="00B16B39">
      <w:pPr>
        <w:pStyle w:val="Normaltext1"/>
      </w:pPr>
      <w:r>
        <w:t xml:space="preserve">This difficulty was underscored in the recent Nunavut Court of Justice decision </w:t>
      </w:r>
      <w:r>
        <w:rPr>
          <w:i/>
          <w:iCs/>
        </w:rPr>
        <w:t>R.A., as Guardian ad litem for her minor child, I.A v. S.K. and D.K</w:t>
      </w:r>
      <w:r>
        <w:t>., which decried the lack of clarity surrounding some of the key elements of Inuit custom adoption, such as consent and the rights of birth and adoptive parents and of the adopted child.</w:t>
      </w:r>
      <w:r>
        <w:rPr>
          <w:rStyle w:val="FootnoteReference"/>
        </w:rPr>
        <w:footnoteReference w:id="60"/>
      </w:r>
      <w:r>
        <w:t xml:space="preserve"> </w:t>
      </w:r>
    </w:p>
    <w:p w:rsidR="00B16B39" w:rsidRDefault="00B16B39" w:rsidP="00B16B39">
      <w:pPr>
        <w:pStyle w:val="Heading3"/>
      </w:pPr>
      <w:bookmarkStart w:id="336" w:name="_Toc501713661"/>
      <w:bookmarkStart w:id="337" w:name="_Toc503170551"/>
      <w:bookmarkStart w:id="338" w:name="_Toc503290270"/>
      <w:bookmarkStart w:id="339" w:name="_Toc504579934"/>
      <w:r>
        <w:t>Role of Legislative Counsel</w:t>
      </w:r>
      <w:bookmarkEnd w:id="336"/>
      <w:bookmarkEnd w:id="337"/>
      <w:bookmarkEnd w:id="338"/>
      <w:bookmarkEnd w:id="339"/>
    </w:p>
    <w:p w:rsidR="00B16B39" w:rsidRDefault="00B16B39" w:rsidP="00B16B39">
      <w:pPr>
        <w:pStyle w:val="Normaltext1"/>
      </w:pPr>
      <w:r>
        <w:t xml:space="preserve">What then, is the role of legislative counsel in incorporating </w:t>
      </w:r>
      <w:r w:rsidRPr="00D53978">
        <w:rPr>
          <w:i/>
        </w:rPr>
        <w:t>Inuit</w:t>
      </w:r>
      <w:r>
        <w:t xml:space="preserve"> </w:t>
      </w:r>
      <w:r w:rsidRPr="00457983">
        <w:rPr>
          <w:i/>
        </w:rPr>
        <w:t>Qaujimajatuqangit</w:t>
      </w:r>
      <w:r>
        <w:t xml:space="preserve"> into legislation? </w:t>
      </w:r>
    </w:p>
    <w:p w:rsidR="00B16B39" w:rsidRDefault="00B16B39" w:rsidP="00B16B39">
      <w:pPr>
        <w:pStyle w:val="Normaltext1"/>
      </w:pPr>
      <w:r>
        <w:t xml:space="preserve">One of the key roles of legislative counsel is to take policy and transpose it into effective legislation. To do so, they often have to ask probing questions to determine the details of the policy goals and the means of attaining those goals. That role should not be any different with respect to </w:t>
      </w:r>
      <w:r w:rsidRPr="00D53978">
        <w:rPr>
          <w:i/>
        </w:rPr>
        <w:t>Inuit</w:t>
      </w:r>
      <w:r>
        <w:t xml:space="preserve"> </w:t>
      </w:r>
      <w:r w:rsidRPr="00457983">
        <w:rPr>
          <w:i/>
        </w:rPr>
        <w:t>Qaujimajatuqangit</w:t>
      </w:r>
      <w:r>
        <w:t xml:space="preserve">. Therefore, legislative counsel should first of all encourage policy officials to consider, during the policy development process, how </w:t>
      </w:r>
      <w:r w:rsidRPr="00D53978">
        <w:rPr>
          <w:i/>
        </w:rPr>
        <w:t xml:space="preserve">Inuit </w:t>
      </w:r>
      <w:r w:rsidRPr="00457983">
        <w:rPr>
          <w:i/>
        </w:rPr>
        <w:t>Qaujimajatuqangit</w:t>
      </w:r>
      <w:r>
        <w:t xml:space="preserve"> informs the various policy goals and the means of attaining those goals. </w:t>
      </w:r>
    </w:p>
    <w:p w:rsidR="00B16B39" w:rsidRDefault="00B16B39" w:rsidP="00B16B39">
      <w:pPr>
        <w:pStyle w:val="Normaltext1"/>
      </w:pPr>
      <w:r>
        <w:t xml:space="preserve">Ideally, policies would be developed in such a way that the requirements of </w:t>
      </w:r>
      <w:r w:rsidRPr="00D53978">
        <w:rPr>
          <w:i/>
        </w:rPr>
        <w:t xml:space="preserve">Inuit </w:t>
      </w:r>
      <w:r w:rsidRPr="00457983">
        <w:rPr>
          <w:i/>
        </w:rPr>
        <w:t>Qaujimajatuqangit</w:t>
      </w:r>
      <w:r>
        <w:t xml:space="preserve"> are seamlessly built into them. This would mean that simply by following the rule set out in legislation, the requirements of </w:t>
      </w:r>
      <w:r w:rsidRPr="00D53978">
        <w:rPr>
          <w:i/>
        </w:rPr>
        <w:t>Inuit</w:t>
      </w:r>
      <w:r>
        <w:t xml:space="preserve"> </w:t>
      </w:r>
      <w:r w:rsidRPr="00457983">
        <w:rPr>
          <w:i/>
        </w:rPr>
        <w:t>Qaujimajatuqangit</w:t>
      </w:r>
      <w:r>
        <w:t xml:space="preserve"> would be met; there would be no need to refer to </w:t>
      </w:r>
      <w:r w:rsidRPr="00D53978">
        <w:rPr>
          <w:i/>
        </w:rPr>
        <w:t xml:space="preserve">Inuit </w:t>
      </w:r>
      <w:r w:rsidRPr="00457983">
        <w:rPr>
          <w:i/>
        </w:rPr>
        <w:t>Qaujimajatuqangit</w:t>
      </w:r>
      <w:r>
        <w:t xml:space="preserve"> directly, as the law would inherently be compatible with </w:t>
      </w:r>
      <w:r w:rsidRPr="00D53978">
        <w:rPr>
          <w:i/>
        </w:rPr>
        <w:t xml:space="preserve">Inuit </w:t>
      </w:r>
      <w:r w:rsidRPr="00457983">
        <w:rPr>
          <w:i/>
        </w:rPr>
        <w:t>Qaujimajatuqangit</w:t>
      </w:r>
      <w:r>
        <w:t>. To the extent it is possible, this approach is not only desirable, but is in some cases required by the Nunavut Land Claims Agreement, which, as indicated above, requires the Government to “[endeavour] to reflect Inuit goals and objectives where it puts in place … social and cultural policies, programs and services in the Nunavut Settlement Area.”</w:t>
      </w:r>
      <w:r>
        <w:rPr>
          <w:rFonts w:eastAsia="Times New Roman"/>
          <w:vertAlign w:val="superscript"/>
        </w:rPr>
        <w:footnoteReference w:id="61"/>
      </w:r>
      <w:r>
        <w:t xml:space="preserve"> </w:t>
      </w:r>
    </w:p>
    <w:p w:rsidR="00B16B39" w:rsidRDefault="00B16B39" w:rsidP="00B16B39">
      <w:pPr>
        <w:pStyle w:val="Normaltext1"/>
      </w:pPr>
      <w:r>
        <w:lastRenderedPageBreak/>
        <w:t xml:space="preserve">Where such seamless incorporation is not possible, either because situations need to be analysed on a case-by-case basis for compatibility with </w:t>
      </w:r>
      <w:r w:rsidRPr="00D53978">
        <w:rPr>
          <w:i/>
        </w:rPr>
        <w:t xml:space="preserve">Inuit </w:t>
      </w:r>
      <w:r w:rsidRPr="00457983">
        <w:rPr>
          <w:i/>
        </w:rPr>
        <w:t>Qaujimajatuqangit</w:t>
      </w:r>
      <w:r>
        <w:t xml:space="preserve">, or because the requirements of </w:t>
      </w:r>
      <w:r w:rsidRPr="00D53978">
        <w:rPr>
          <w:i/>
        </w:rPr>
        <w:t>Inuit</w:t>
      </w:r>
      <w:r>
        <w:t xml:space="preserve"> </w:t>
      </w:r>
      <w:r w:rsidRPr="00457983">
        <w:rPr>
          <w:i/>
        </w:rPr>
        <w:t>Qaujimajatuqangit</w:t>
      </w:r>
      <w:r>
        <w:t xml:space="preserve"> with respect to a certain subject-matter aren’t sufficiently clear or known to policy officials, it may be necessary to resort to one of the existing legislative approaches discussed in this paper, or to develop other approaches. However, care should be taken in determining which approach to use, as they each have their strengths and weaknesses. If an improper approach is used, it may either make the provisions related to </w:t>
      </w:r>
      <w:r w:rsidRPr="00D53978">
        <w:rPr>
          <w:i/>
        </w:rPr>
        <w:t xml:space="preserve">Inuit </w:t>
      </w:r>
      <w:r w:rsidRPr="00457983">
        <w:rPr>
          <w:i/>
        </w:rPr>
        <w:t>Qaujimajatuqangit</w:t>
      </w:r>
      <w:r>
        <w:t xml:space="preserve"> ineffective, or, as indicated by the Special Committee of the Legislative Assembly of Nunavut to review the </w:t>
      </w:r>
      <w:r>
        <w:rPr>
          <w:i/>
          <w:iCs/>
        </w:rPr>
        <w:t>Education Act</w:t>
      </w:r>
      <w:r>
        <w:t>, compromise the effectiveness of legislation.</w:t>
      </w:r>
      <w:r>
        <w:rPr>
          <w:rFonts w:eastAsia="Times New Roman"/>
          <w:vertAlign w:val="superscript"/>
        </w:rPr>
        <w:footnoteReference w:id="62"/>
      </w:r>
      <w:r>
        <w:t xml:space="preserve"> </w:t>
      </w:r>
    </w:p>
    <w:p w:rsidR="00B16B39" w:rsidRDefault="00B16B39" w:rsidP="00B16B39">
      <w:pPr>
        <w:pStyle w:val="Heading3"/>
      </w:pPr>
      <w:bookmarkStart w:id="340" w:name="_Toc501713662"/>
      <w:bookmarkStart w:id="341" w:name="_Toc503170552"/>
      <w:bookmarkStart w:id="342" w:name="_Toc503290271"/>
      <w:bookmarkStart w:id="343" w:name="_Toc504579935"/>
      <w:r>
        <w:rPr>
          <w:lang w:val="it-IT"/>
        </w:rPr>
        <w:t>Conclusion</w:t>
      </w:r>
      <w:bookmarkEnd w:id="340"/>
      <w:bookmarkEnd w:id="341"/>
      <w:bookmarkEnd w:id="342"/>
      <w:bookmarkEnd w:id="343"/>
    </w:p>
    <w:p w:rsidR="00B16B39" w:rsidRDefault="00B16B39" w:rsidP="00B16B39">
      <w:pPr>
        <w:pStyle w:val="Normaltext1"/>
      </w:pPr>
      <w:r>
        <w:t xml:space="preserve">It is not impossible to incorporate </w:t>
      </w:r>
      <w:r w:rsidRPr="00D53978">
        <w:rPr>
          <w:i/>
        </w:rPr>
        <w:t>Inuit</w:t>
      </w:r>
      <w:r>
        <w:t xml:space="preserve"> </w:t>
      </w:r>
      <w:r w:rsidRPr="00457983">
        <w:rPr>
          <w:i/>
        </w:rPr>
        <w:t>Qaujimajatuqangit</w:t>
      </w:r>
      <w:r>
        <w:t xml:space="preserve"> into legislation, though of course in some areas of the law that are particularly removed from traditional Inuit life (securities legislation comes to mind, for example), avenues for incorporation may be very limited. However, in order to effectively incorporate </w:t>
      </w:r>
      <w:r w:rsidRPr="00D53978">
        <w:rPr>
          <w:i/>
        </w:rPr>
        <w:t xml:space="preserve">Inuit </w:t>
      </w:r>
      <w:r w:rsidRPr="00457983">
        <w:rPr>
          <w:i/>
        </w:rPr>
        <w:t>Qaujimajatuqangit</w:t>
      </w:r>
      <w:r>
        <w:t xml:space="preserve"> into legislation, sufficient policy work must be done to ensure that its incorporation is sufficiently clear and effective. Legislative counsel cannot, and should not, be doing this policy work, but they should ensure that the instructions being provided by policy officials are sufficiently clear and precise to be successfully transposed into effective legislation. As with any other area of policy, legislative counsel must be ready to ask tough questions to get to the bottom of the policy goals, and policy officials must be ready to concretely explain those policy goals and their expected outcomes. </w:t>
      </w:r>
    </w:p>
    <w:p w:rsidR="00B16B39" w:rsidRDefault="00B16B39" w:rsidP="00B16B39">
      <w:pPr>
        <w:pStyle w:val="Normaltext1"/>
      </w:pPr>
      <w:r>
        <w:t xml:space="preserve">Ultimately, as the saying goes, what happens in vagueness stays in vagueness. Vagueness in legislation creates difficulties for everyone involved: citizens, government officials, lawyers and judges. Incorporating </w:t>
      </w:r>
      <w:r w:rsidRPr="00D53978">
        <w:rPr>
          <w:i/>
        </w:rPr>
        <w:t xml:space="preserve">Inuit </w:t>
      </w:r>
      <w:r w:rsidRPr="00457983">
        <w:rPr>
          <w:i/>
        </w:rPr>
        <w:t xml:space="preserve">Qaujimajatuqangit </w:t>
      </w:r>
      <w:r>
        <w:t>into legislation without creating vagueness may be difficult, but that difficulty should be dealt with head-on in order for the laws of Nunavut to be developed in a manner that respects the traditions, way of life and worldview of the majority of its citizens.</w:t>
      </w:r>
    </w:p>
    <w:p w:rsidR="00B16B39" w:rsidRDefault="00B16B39" w:rsidP="004A1457">
      <w:pPr>
        <w:pStyle w:val="Heading3"/>
      </w:pPr>
      <w:bookmarkStart w:id="344" w:name="_Toc501713663"/>
      <w:bookmarkStart w:id="345" w:name="_Toc503170553"/>
      <w:bookmarkStart w:id="346" w:name="_Toc503290272"/>
      <w:bookmarkStart w:id="347" w:name="_Toc504579936"/>
      <w:r>
        <w:rPr>
          <w:lang w:val="da-DK"/>
        </w:rPr>
        <w:t xml:space="preserve">Appendix A </w:t>
      </w:r>
      <w:r>
        <w:t xml:space="preserve">– Examples of references to </w:t>
      </w:r>
      <w:r w:rsidRPr="00D53978">
        <w:rPr>
          <w:i/>
        </w:rPr>
        <w:t xml:space="preserve">Inuit </w:t>
      </w:r>
      <w:r w:rsidRPr="00457983">
        <w:rPr>
          <w:i/>
        </w:rPr>
        <w:t>Qaujimajatuqangit</w:t>
      </w:r>
      <w:r>
        <w:t xml:space="preserve"> in the </w:t>
      </w:r>
      <w:r>
        <w:rPr>
          <w:i/>
          <w:iCs/>
        </w:rPr>
        <w:t>Education Act</w:t>
      </w:r>
      <w:bookmarkEnd w:id="344"/>
      <w:bookmarkEnd w:id="345"/>
      <w:bookmarkEnd w:id="346"/>
      <w:bookmarkEnd w:id="347"/>
      <w:r>
        <w:t xml:space="preserve"> </w:t>
      </w:r>
    </w:p>
    <w:p w:rsidR="00B16B39" w:rsidRDefault="00B16B39" w:rsidP="00B16B39">
      <w:pPr>
        <w:pStyle w:val="Normaltext1"/>
      </w:pPr>
      <w:r>
        <w:t>Bill 37, introduced March 2017, would repeal all provisions below</w:t>
      </w:r>
    </w:p>
    <w:p w:rsidR="00B16B39" w:rsidRDefault="00B16B39" w:rsidP="00B16B39">
      <w:pPr>
        <w:pStyle w:val="Normaltext2"/>
      </w:pPr>
      <w:r>
        <w:t>Inuit Qaujimajatuqangit</w:t>
      </w:r>
    </w:p>
    <w:p w:rsidR="00B16B39" w:rsidRDefault="00B16B39" w:rsidP="00B16B39">
      <w:pPr>
        <w:pStyle w:val="Normaltext2"/>
      </w:pPr>
      <w:r>
        <w:t>8.</w:t>
      </w:r>
      <w:r>
        <w:tab/>
        <w:t>(3) The Minister shall establish the curriculum in accordance with and base it on Inuit societal values and the principles and concepts of Inuit Qaujimajatuqangit and respect for Inuit cultural identity.</w:t>
      </w:r>
    </w:p>
    <w:p w:rsidR="00B16B39" w:rsidRDefault="00B16B39" w:rsidP="00B16B39">
      <w:pPr>
        <w:pStyle w:val="Normaltext2"/>
      </w:pPr>
      <w:r>
        <w:lastRenderedPageBreak/>
        <w:t>Inuit Qaujimajatuqangit</w:t>
      </w:r>
    </w:p>
    <w:p w:rsidR="00B16B39" w:rsidRDefault="00B16B39" w:rsidP="00B16B39">
      <w:pPr>
        <w:pStyle w:val="Normaltext2"/>
      </w:pPr>
      <w:r>
        <w:t>21. (2) A district education authority shall supervise a home schooling program in accordance with Inuit societal values and the principles and concepts of Inuit Qaujimajatuqangit.</w:t>
      </w:r>
    </w:p>
    <w:p w:rsidR="00B16B39" w:rsidRDefault="00B16B39" w:rsidP="00B16B39">
      <w:pPr>
        <w:pStyle w:val="Normaltext2"/>
      </w:pPr>
      <w:r>
        <w:t>Inuit Qaujimajatuqangit</w:t>
      </w:r>
    </w:p>
    <w:p w:rsidR="00B16B39" w:rsidRDefault="00B16B39" w:rsidP="00B16B39">
      <w:pPr>
        <w:pStyle w:val="Normaltext2"/>
      </w:pPr>
      <w:r>
        <w:t>37. (2) The district education authority shall develop its registration and attendance policy in accordance with Inuit societal values and the principles and concepts of Inuit Qaujimajatuqangit, particularly the principles of Tunnganarniq and Pijitsirniq.</w:t>
      </w:r>
    </w:p>
    <w:p w:rsidR="00B16B39" w:rsidRDefault="00B16B39" w:rsidP="00B16B39">
      <w:pPr>
        <w:pStyle w:val="Normaltext2"/>
      </w:pPr>
      <w:r>
        <w:t>Inuit Qaujimajatuqangit</w:t>
      </w:r>
    </w:p>
    <w:p w:rsidR="00B16B39" w:rsidRDefault="00B16B39" w:rsidP="00B16B39">
      <w:pPr>
        <w:pStyle w:val="Normaltext2"/>
      </w:pPr>
      <w:r>
        <w:t>38.  The district education authority and the education staff shall implement the registration and attendance policy of the district education authority in accordance with Inuit societal values and the principles and concepts of Inuit Qaujimajatuqangit, particularly the principles of Tunnganarniq and Pijitsirniq.</w:t>
      </w:r>
    </w:p>
    <w:p w:rsidR="00B16B39" w:rsidRDefault="00B16B39" w:rsidP="00B16B39">
      <w:pPr>
        <w:pStyle w:val="Normaltext2"/>
      </w:pPr>
      <w:r>
        <w:t>Inuit Qaujimajatuqangit</w:t>
      </w:r>
    </w:p>
    <w:p w:rsidR="00B16B39" w:rsidRDefault="00B16B39" w:rsidP="00B16B39">
      <w:pPr>
        <w:pStyle w:val="Normaltext2"/>
      </w:pPr>
      <w:r>
        <w:t>61. (2) The school rules shall be developed in accordance with the principles and concepts of Inuit Qaujimajatuqangit, particularly the principles of Inuuqatigiitsiarniq and Piliriqatigiinniq.</w:t>
      </w:r>
    </w:p>
    <w:p w:rsidR="00B16B39" w:rsidRDefault="00B16B39" w:rsidP="00B16B39">
      <w:pPr>
        <w:pStyle w:val="Normaltext2"/>
      </w:pPr>
      <w:r>
        <w:t>Inuit Qaujimajatuqangit</w:t>
      </w:r>
    </w:p>
    <w:p w:rsidR="00B16B39" w:rsidRDefault="00B16B39" w:rsidP="00B16B39">
      <w:pPr>
        <w:pStyle w:val="Normaltext2"/>
      </w:pPr>
      <w:r>
        <w:t>84. (3) A district education authority shall develop a school calendar in accordance with the principles and concepts of Inuit Qaujimajatuqangit, particularly the principles of Pijitsirniq and Aajiiqatigiinniq.</w:t>
      </w:r>
    </w:p>
    <w:p w:rsidR="00B16B39" w:rsidRDefault="00B16B39" w:rsidP="00B16B39">
      <w:pPr>
        <w:pStyle w:val="Normaltext2"/>
      </w:pPr>
      <w:r>
        <w:t>Specific additional duties of teachers</w:t>
      </w:r>
    </w:p>
    <w:p w:rsidR="00B16B39" w:rsidRDefault="00B16B39" w:rsidP="00B16B39">
      <w:pPr>
        <w:pStyle w:val="Normaltext2"/>
      </w:pPr>
      <w:r>
        <w:t>98. In addition to anything else a teacher is required to do under this Act, he or she shall</w:t>
      </w:r>
    </w:p>
    <w:p w:rsidR="00B16B39" w:rsidRDefault="00B16B39" w:rsidP="00B16B39">
      <w:pPr>
        <w:pStyle w:val="Normaltext2"/>
      </w:pPr>
      <w:r>
        <w:t>…</w:t>
      </w:r>
    </w:p>
    <w:p w:rsidR="00B16B39" w:rsidRDefault="00B16B39" w:rsidP="00B16B39">
      <w:pPr>
        <w:pStyle w:val="Normaltext2"/>
      </w:pPr>
      <w:r>
        <w:t>(b) teach his or her students in a manner that is consistent with Inuit societal values and the principles and concepts of Inuit Qaujimajatuqangit and respect for Inuit cultural identity;</w:t>
      </w:r>
    </w:p>
    <w:p w:rsidR="00B16B39" w:rsidRDefault="00B16B39" w:rsidP="00B16B39">
      <w:pPr>
        <w:pStyle w:val="Heading3"/>
        <w:ind w:left="0"/>
      </w:pPr>
      <w:bookmarkStart w:id="348" w:name="_Toc501713664"/>
      <w:bookmarkStart w:id="349" w:name="_Toc503170554"/>
      <w:bookmarkStart w:id="350" w:name="_Toc503290273"/>
      <w:bookmarkStart w:id="351" w:name="_Toc504579937"/>
      <w:r>
        <w:rPr>
          <w:lang w:val="da-DK"/>
        </w:rPr>
        <w:t xml:space="preserve">Appendix B </w:t>
      </w:r>
      <w:r>
        <w:t xml:space="preserve">– Direct reference to </w:t>
      </w:r>
      <w:r w:rsidRPr="00D53978">
        <w:rPr>
          <w:i/>
        </w:rPr>
        <w:t xml:space="preserve">Inuit </w:t>
      </w:r>
      <w:r w:rsidRPr="00457983">
        <w:rPr>
          <w:i/>
        </w:rPr>
        <w:t>Qaujimajatuqangit</w:t>
      </w:r>
      <w:r>
        <w:t>, without a definition</w:t>
      </w:r>
      <w:bookmarkEnd w:id="348"/>
      <w:bookmarkEnd w:id="349"/>
      <w:bookmarkEnd w:id="350"/>
      <w:bookmarkEnd w:id="351"/>
    </w:p>
    <w:p w:rsidR="00B16B39" w:rsidRDefault="00B16B39" w:rsidP="00B16B39">
      <w:pPr>
        <w:pStyle w:val="Normaltext1"/>
      </w:pPr>
      <w:r>
        <w:t xml:space="preserve">Section 197 of the </w:t>
      </w:r>
      <w:r>
        <w:rPr>
          <w:i/>
          <w:iCs/>
        </w:rPr>
        <w:t>Plebiscites Act</w:t>
      </w:r>
      <w:r>
        <w:t xml:space="preserve"> (Section 230 of the </w:t>
      </w:r>
      <w:r>
        <w:rPr>
          <w:i/>
          <w:iCs/>
        </w:rPr>
        <w:t>Nunavut Elections Act</w:t>
      </w:r>
      <w:r>
        <w:t xml:space="preserve"> is equivalent): </w:t>
      </w:r>
    </w:p>
    <w:p w:rsidR="00B16B39" w:rsidRDefault="00B16B39" w:rsidP="00B16B39">
      <w:pPr>
        <w:pStyle w:val="Normaltext2"/>
      </w:pPr>
      <w:r>
        <w:t xml:space="preserve">Nature of agreement </w:t>
      </w:r>
    </w:p>
    <w:p w:rsidR="00B16B39" w:rsidRDefault="00B16B39" w:rsidP="00B16B39">
      <w:pPr>
        <w:pStyle w:val="Normaltext2"/>
      </w:pPr>
      <w:r>
        <w:lastRenderedPageBreak/>
        <w:t xml:space="preserve">197. (1) A compliance agreement is an agreement whereby a person who is alleged to have committed an offence agrees, in exchange for the stay of any prosecution in respect of the offence, to one or more of the following:                 </w:t>
      </w:r>
    </w:p>
    <w:p w:rsidR="00B16B39" w:rsidRDefault="00B16B39" w:rsidP="00B16B39">
      <w:pPr>
        <w:pStyle w:val="Normaltext2"/>
      </w:pPr>
      <w:r>
        <w:t>…</w:t>
      </w:r>
    </w:p>
    <w:p w:rsidR="00B16B39" w:rsidRDefault="00B16B39" w:rsidP="00B16B39">
      <w:pPr>
        <w:pStyle w:val="Normaltext3"/>
      </w:pPr>
      <w:r>
        <w:t xml:space="preserve">(c) to seek atonement in accordance with Inuit Qaujimajatuqangit;                 </w:t>
      </w:r>
    </w:p>
    <w:p w:rsidR="00B16B39" w:rsidRDefault="00B16B39" w:rsidP="00B16B39">
      <w:pPr>
        <w:pStyle w:val="Normaltext2"/>
      </w:pPr>
      <w:r>
        <w:t>…</w:t>
      </w:r>
    </w:p>
    <w:p w:rsidR="00B16B39" w:rsidRDefault="00B16B39" w:rsidP="00B16B39">
      <w:pPr>
        <w:pStyle w:val="Normaltext1"/>
      </w:pPr>
      <w:r>
        <w:t xml:space="preserve">Section 21 of the </w:t>
      </w:r>
      <w:r>
        <w:rPr>
          <w:i/>
          <w:iCs/>
        </w:rPr>
        <w:t>Nunavut Elections Act</w:t>
      </w:r>
      <w:r>
        <w:t>:</w:t>
      </w:r>
    </w:p>
    <w:p w:rsidR="00B16B39" w:rsidRDefault="00B16B39" w:rsidP="00B16B39">
      <w:pPr>
        <w:pStyle w:val="Normaltext2"/>
      </w:pPr>
      <w:r>
        <w:t>Factors for constituency boundaries</w:t>
      </w:r>
    </w:p>
    <w:p w:rsidR="00B16B39" w:rsidRDefault="00B16B39" w:rsidP="00B16B39">
      <w:pPr>
        <w:pStyle w:val="Normaltext2"/>
      </w:pPr>
      <w:r>
        <w:t>21. (1) A Boundaries Commission shall establish the boundaries of constituencies on the basis of the following factors:</w:t>
      </w:r>
    </w:p>
    <w:p w:rsidR="00B16B39" w:rsidRDefault="00B16B39" w:rsidP="004A1457">
      <w:pPr>
        <w:pStyle w:val="Normaltext1"/>
      </w:pPr>
      <w:r>
        <w:tab/>
      </w:r>
      <w:r>
        <w:tab/>
        <w:t>…</w:t>
      </w:r>
    </w:p>
    <w:p w:rsidR="00B16B39" w:rsidRDefault="00B16B39" w:rsidP="00B16B39">
      <w:pPr>
        <w:pStyle w:val="Normaltext3"/>
      </w:pPr>
      <w:r>
        <w:t>(f) Inuit Qaujimajatuqangit;</w:t>
      </w:r>
    </w:p>
    <w:p w:rsidR="00B16B39" w:rsidRDefault="00B16B39" w:rsidP="004A1457">
      <w:pPr>
        <w:pStyle w:val="Normaltext1"/>
      </w:pPr>
      <w:r>
        <w:tab/>
      </w:r>
      <w:r>
        <w:tab/>
        <w:t>…</w:t>
      </w:r>
    </w:p>
    <w:p w:rsidR="00B16B39" w:rsidRDefault="00B16B39" w:rsidP="00B16B39">
      <w:pPr>
        <w:pStyle w:val="Normaltext1"/>
      </w:pPr>
      <w:r>
        <w:t xml:space="preserve">Sections 16 and 40 of the </w:t>
      </w:r>
      <w:r>
        <w:rPr>
          <w:i/>
          <w:iCs/>
        </w:rPr>
        <w:t>Legislative Assembly and Executive Council Act</w:t>
      </w:r>
      <w:r>
        <w:t>:</w:t>
      </w:r>
    </w:p>
    <w:p w:rsidR="00B16B39" w:rsidRDefault="00B16B39" w:rsidP="00B16B39">
      <w:pPr>
        <w:pStyle w:val="Normaltext2"/>
      </w:pPr>
      <w:r>
        <w:t>Parliamentary privilege</w:t>
      </w:r>
    </w:p>
    <w:p w:rsidR="00B16B39" w:rsidRDefault="00B16B39" w:rsidP="00B16B39">
      <w:pPr>
        <w:pStyle w:val="Normaltext2"/>
      </w:pPr>
      <w:r>
        <w:t>16. (1) The Legislative Assembly and the members hold, enjoy and exercise those and similar privileges, immunities and powers that are now held, enjoyed and exercised by the House of Commons of the Parliament of Canada and by the members of that House of Commons.</w:t>
      </w:r>
    </w:p>
    <w:p w:rsidR="00B16B39" w:rsidRDefault="00B16B39" w:rsidP="00B16B39">
      <w:pPr>
        <w:pStyle w:val="Normaltext2"/>
      </w:pPr>
      <w:r>
        <w:t>Part of the law of Nunavut</w:t>
      </w:r>
    </w:p>
    <w:p w:rsidR="00B16B39" w:rsidRDefault="00B16B39" w:rsidP="00B16B39">
      <w:pPr>
        <w:pStyle w:val="Normaltext2"/>
      </w:pPr>
      <w:r>
        <w:t>(2) The privileges, immunities and powers referred to in subsection (1)</w:t>
      </w:r>
    </w:p>
    <w:p w:rsidR="00B16B39" w:rsidRDefault="00B16B39" w:rsidP="004A1457">
      <w:pPr>
        <w:pStyle w:val="Normaltext1"/>
      </w:pPr>
      <w:r>
        <w:tab/>
      </w:r>
      <w:r>
        <w:tab/>
        <w:t>…</w:t>
      </w:r>
    </w:p>
    <w:p w:rsidR="00B16B39" w:rsidRDefault="00B16B39" w:rsidP="00B16B39">
      <w:pPr>
        <w:pStyle w:val="Normaltext3"/>
      </w:pPr>
      <w:r>
        <w:t>(d) shall be exercised taking into consideration Inuit Qaujimajatuqangit.</w:t>
      </w:r>
    </w:p>
    <w:p w:rsidR="00B16B39" w:rsidRDefault="00B16B39" w:rsidP="00B16B39">
      <w:pPr>
        <w:pStyle w:val="Normaltext2"/>
      </w:pPr>
      <w:r>
        <w:t>Inuit Qaujimajatuqangit</w:t>
      </w:r>
    </w:p>
    <w:p w:rsidR="00B16B39" w:rsidRDefault="00B16B39" w:rsidP="00B16B39">
      <w:pPr>
        <w:pStyle w:val="Normaltext2"/>
      </w:pPr>
      <w:r>
        <w:t>40. (7) In exercising its powers and carrying out its duties, the Management and Services Board shall give due consideration to the cultures and traditions of Nunavut and to Inuit Qaujimajatuqangit.</w:t>
      </w:r>
    </w:p>
    <w:p w:rsidR="00B16B39" w:rsidRDefault="00B16B39" w:rsidP="004A1457">
      <w:pPr>
        <w:pStyle w:val="Heading3"/>
      </w:pPr>
      <w:bookmarkStart w:id="352" w:name="_Toc501713665"/>
      <w:bookmarkStart w:id="353" w:name="_Toc503170555"/>
      <w:bookmarkStart w:id="354" w:name="_Toc503290274"/>
      <w:bookmarkStart w:id="355" w:name="_Toc504579938"/>
      <w:r>
        <w:rPr>
          <w:lang w:val="da-DK"/>
        </w:rPr>
        <w:t>Appendix C</w:t>
      </w:r>
      <w:bookmarkEnd w:id="352"/>
      <w:bookmarkEnd w:id="353"/>
      <w:r w:rsidR="004A1457">
        <w:rPr>
          <w:lang w:val="da-DK"/>
        </w:rPr>
        <w:t xml:space="preserve"> – </w:t>
      </w:r>
      <w:r>
        <w:rPr>
          <w:rFonts w:eastAsia="Arial Unicode MS" w:cs="Arial Unicode MS"/>
        </w:rPr>
        <w:t>Aboriginal custom adoption</w:t>
      </w:r>
      <w:bookmarkEnd w:id="354"/>
      <w:bookmarkEnd w:id="355"/>
    </w:p>
    <w:p w:rsidR="00B16B39" w:rsidRDefault="00B16B39" w:rsidP="00B16B39">
      <w:pPr>
        <w:pStyle w:val="Normaltext1"/>
      </w:pPr>
      <w:r>
        <w:rPr>
          <w:i/>
          <w:iCs/>
        </w:rPr>
        <w:t>Aboriginal Custom Adoption Recognition Act</w:t>
      </w:r>
      <w:r>
        <w:t>:</w:t>
      </w:r>
    </w:p>
    <w:p w:rsidR="00B16B39" w:rsidRDefault="00B16B39" w:rsidP="00B16B39">
      <w:pPr>
        <w:pStyle w:val="Normaltext2"/>
      </w:pPr>
      <w:r>
        <w:t>Whereas aboriginal customary law in Nunavut includes law respecting adoptions;</w:t>
      </w:r>
    </w:p>
    <w:p w:rsidR="00B16B39" w:rsidRDefault="00B16B39" w:rsidP="00B16B39">
      <w:pPr>
        <w:pStyle w:val="Normaltext2"/>
      </w:pPr>
      <w:r>
        <w:t xml:space="preserve">And desiring, without changing aboriginal customary law respecting adoptions, to set out a simple procedure by which a custom adoption may be respected and recognized </w:t>
      </w:r>
      <w:r>
        <w:lastRenderedPageBreak/>
        <w:t>and a certificate recognizing the adoption will be issued having the effect of an order of a court of competent jurisdiction in Nunavut so that birth registrations can be appropriately altered in Nunavut and other jurisdictions in Canada;</w:t>
      </w:r>
    </w:p>
    <w:p w:rsidR="00B16B39" w:rsidRDefault="00B16B39" w:rsidP="00B16B39">
      <w:pPr>
        <w:pStyle w:val="Normaltext2"/>
      </w:pPr>
      <w:r>
        <w:t xml:space="preserve"> …</w:t>
      </w:r>
    </w:p>
    <w:p w:rsidR="00B16B39" w:rsidRDefault="00B16B39" w:rsidP="00B16B39">
      <w:pPr>
        <w:pStyle w:val="Normaltext2"/>
      </w:pPr>
      <w:r>
        <w:t>Application for certificate</w:t>
      </w:r>
    </w:p>
    <w:p w:rsidR="00B16B39" w:rsidRDefault="00B16B39" w:rsidP="00B16B39">
      <w:pPr>
        <w:pStyle w:val="Normaltext2"/>
      </w:pPr>
      <w:r>
        <w:t xml:space="preserve"> </w:t>
      </w:r>
      <w:r>
        <w:tab/>
        <w:t>2. (1) A person who has adopted a child in accordance with aboriginal customary law may apply to a custom adoption commissioner for a certificate recognizing the adoption.</w:t>
      </w:r>
    </w:p>
    <w:p w:rsidR="00B16B39" w:rsidRDefault="00B16B39" w:rsidP="00B16B39">
      <w:pPr>
        <w:pStyle w:val="Normaltext2"/>
      </w:pPr>
      <w:r>
        <w:t>(emphasis added)</w:t>
      </w:r>
    </w:p>
    <w:p w:rsidR="00B16B39" w:rsidRDefault="00B16B39" w:rsidP="00B16B39">
      <w:pPr>
        <w:pStyle w:val="Normaltext2"/>
      </w:pPr>
      <w:r>
        <w:t>Vital Statistics Act:</w:t>
      </w:r>
    </w:p>
    <w:p w:rsidR="00B16B39" w:rsidRDefault="00B16B39" w:rsidP="00B16B39">
      <w:pPr>
        <w:pStyle w:val="Normaltext2"/>
      </w:pPr>
      <w:r>
        <w:t>Substitution of registration of birth where custom adoption</w:t>
      </w:r>
    </w:p>
    <w:p w:rsidR="00B16B39" w:rsidRDefault="00B16B39" w:rsidP="00B16B39">
      <w:pPr>
        <w:pStyle w:val="Normaltext2"/>
      </w:pPr>
      <w:r>
        <w:t>(2.1) Where, at the time of the registration of a custom adoption or at any time after that, there is in the office of the Registrar General a registration of the birth of the person adopted, the Registrar General, on production of evidence satisfactory to the Registrar General of the identity of the person, shall cause</w:t>
      </w:r>
    </w:p>
    <w:p w:rsidR="00B16B39" w:rsidRDefault="00B16B39" w:rsidP="00B16B39">
      <w:pPr>
        <w:pStyle w:val="Normaltext3"/>
        <w:jc w:val="left"/>
      </w:pPr>
      <w:r>
        <w:t>(a)</w:t>
      </w:r>
      <w:r>
        <w:tab/>
        <w:t>the substitution of a new registration of the birth that is in accordance with the facts contained in the certificate recognizing the custom adoption and that includes the names of the birth parents as set out in the original registration of birth; and</w:t>
      </w:r>
    </w:p>
    <w:p w:rsidR="00B16B39" w:rsidRDefault="00B16B39" w:rsidP="00B16B39">
      <w:pPr>
        <w:pStyle w:val="Normaltext3"/>
      </w:pPr>
      <w:r>
        <w:t>(b)</w:t>
      </w:r>
      <w:r>
        <w:tab/>
        <w:t>the original registration to be withdrawn from the registration files.</w:t>
      </w:r>
    </w:p>
    <w:p w:rsidR="00B16B39" w:rsidRDefault="00B16B39" w:rsidP="00B16B39">
      <w:pPr>
        <w:pStyle w:val="Normaltext3"/>
      </w:pPr>
      <w:r>
        <w:t>(emphasis added)</w:t>
      </w:r>
    </w:p>
    <w:p w:rsidR="00B16B39" w:rsidRDefault="00B16B39" w:rsidP="00B16B39">
      <w:pPr>
        <w:pStyle w:val="Normaltext1"/>
      </w:pPr>
      <w:r>
        <w:rPr>
          <w:i/>
          <w:iCs/>
        </w:rPr>
        <w:t>S.K.K. v. J.S</w:t>
      </w:r>
      <w:r>
        <w:t>., 2002 CanLII 53332, explains Inuit custom adoption as follows:</w:t>
      </w:r>
    </w:p>
    <w:p w:rsidR="00B16B39" w:rsidRDefault="00B16B39" w:rsidP="00B16B39">
      <w:pPr>
        <w:pStyle w:val="Normaltext2"/>
      </w:pPr>
      <w:r>
        <w:t>[52] Based upon the oral history of Elders, the evidence of others and the legal rights and obligations, there are two classifications of custom adoption:</w:t>
      </w:r>
    </w:p>
    <w:p w:rsidR="00B16B39" w:rsidRDefault="00B16B39" w:rsidP="00B16B39">
      <w:pPr>
        <w:pStyle w:val="bullet2"/>
        <w:numPr>
          <w:ilvl w:val="0"/>
          <w:numId w:val="36"/>
        </w:numPr>
        <w:pBdr>
          <w:top w:val="nil"/>
          <w:left w:val="nil"/>
          <w:bottom w:val="nil"/>
          <w:right w:val="nil"/>
          <w:between w:val="nil"/>
          <w:bar w:val="nil"/>
        </w:pBdr>
        <w:contextualSpacing w:val="0"/>
      </w:pPr>
      <w:r>
        <w:t>Traditional or pure custom adoption where biological and adoptive parents meet and there is a clear indication of an intention and an agreement to adopt the child – the adoptive parents take on all the rights, responsibilities and obligations towards the child and those rights, responsibilities and obligations are extinguished vis-à-vis the biological parents (unless the agreement is to the contrary).  The terms of the agreement must be examined carefully to determine if right to apply for child support continues after the custom adoption.</w:t>
      </w:r>
    </w:p>
    <w:p w:rsidR="00B16B39" w:rsidRDefault="00B16B39" w:rsidP="00B16B39">
      <w:pPr>
        <w:pStyle w:val="bullet2"/>
        <w:numPr>
          <w:ilvl w:val="0"/>
          <w:numId w:val="36"/>
        </w:numPr>
        <w:pBdr>
          <w:top w:val="nil"/>
          <w:left w:val="nil"/>
          <w:bottom w:val="nil"/>
          <w:right w:val="nil"/>
          <w:between w:val="nil"/>
          <w:bar w:val="nil"/>
        </w:pBdr>
        <w:contextualSpacing w:val="0"/>
      </w:pPr>
      <w:r>
        <w:t xml:space="preserve"> Pragmatic or practical custom adoption where someone undertakes the care of a child because neither parent is willing or able to care for the child.  There is no agreement or intention between the biological parents and the caregiver.  The caregiver does not take on the rights, responsibilities and </w:t>
      </w:r>
      <w:r>
        <w:lastRenderedPageBreak/>
        <w:t>obligations for the child from the biological parents.  The biological parents continue to have rights, responsibilities and obligations to the child and cannot take advantage of the goodwill of the caregiver.  It may be that if there is a practical custom adoption, the child has more than one set of parents who have legal responsibility for their care.</w:t>
      </w:r>
    </w:p>
    <w:p w:rsidR="00B16B39" w:rsidRDefault="00B16B39" w:rsidP="00B16B39">
      <w:pPr>
        <w:pStyle w:val="Normaltext2"/>
      </w:pPr>
      <w:r>
        <w:t>[53] If there are two kinds of custom adoption existing at the present time, it will be difficult for Custom Adoption Commissioners to determine which kind of custom adoption exists.  It is easier from the Commissioner’s analytical standpoint to have both traditional custom adoption and practical custom adoption considered to be ‘custom adoption’ – that declaration is for the benefit of the child.  When the question of parental rights or obligations arise then it is necessary to examine more closely the initiating circumstances in determining whether rights and/or obligations of the biological parents have been extinguished or are ongoing.  If there is at the initiation of the adoption, the intention and agreement to adopt between all the parents (biological and adoptive), then there is a traditional custom adoption.  The adoption has finality similar to an adoption under the Adoption Act (subject always to the actual terms of the agreement).  If any of those elements of a traditional custom adoption are missing, then although the Custom Adoption Commissioner may register a custom adoption, the rights and obligations of the biological parents may still exist and we would call that a practical custom adoption.</w:t>
      </w:r>
    </w:p>
    <w:p w:rsidR="002461C3" w:rsidRDefault="002461C3" w:rsidP="002461C3">
      <w:pPr>
        <w:pStyle w:val="Centredline"/>
      </w:pPr>
      <w:r w:rsidRPr="00F350C7">
        <w:t>_______</w:t>
      </w:r>
      <w:r>
        <w:t>_______________________________</w:t>
      </w:r>
    </w:p>
    <w:p w:rsidR="002461C3" w:rsidRDefault="002461C3" w:rsidP="002461C3">
      <w:pPr>
        <w:tabs>
          <w:tab w:val="left" w:pos="1210"/>
        </w:tabs>
        <w:spacing w:line="300" w:lineRule="exact"/>
        <w:rPr>
          <w:rFonts w:ascii="Palatino Linotype" w:eastAsia="Calibri" w:hAnsi="Palatino Linotype" w:cs="Arial"/>
          <w:color w:val="000000"/>
          <w:spacing w:val="-3"/>
          <w:lang w:val="en-CA"/>
        </w:rPr>
        <w:sectPr w:rsidR="002461C3" w:rsidSect="00530490">
          <w:headerReference w:type="default" r:id="rId33"/>
          <w:footnotePr>
            <w:numRestart w:val="eachSect"/>
          </w:footnotePr>
          <w:pgSz w:w="12240" w:h="15840"/>
          <w:pgMar w:top="1440" w:right="1440" w:bottom="1440" w:left="1440" w:header="720" w:footer="720" w:gutter="0"/>
          <w:cols w:space="720"/>
          <w:titlePg/>
          <w:docGrid w:linePitch="360"/>
        </w:sectPr>
      </w:pPr>
    </w:p>
    <w:p w:rsidR="004B2FDB" w:rsidRPr="009F407B" w:rsidRDefault="009F407B" w:rsidP="0034368B">
      <w:pPr>
        <w:pStyle w:val="Heading1"/>
      </w:pPr>
      <w:bookmarkStart w:id="356" w:name="_Toc498240570"/>
      <w:bookmarkStart w:id="357" w:name="_Toc498240826"/>
      <w:bookmarkStart w:id="358" w:name="_Toc500060195"/>
      <w:bookmarkStart w:id="359" w:name="_Toc501713666"/>
      <w:bookmarkStart w:id="360" w:name="_Toc501713806"/>
      <w:bookmarkStart w:id="361" w:name="_Toc503170556"/>
      <w:bookmarkStart w:id="362" w:name="_Toc503290275"/>
      <w:bookmarkStart w:id="363" w:name="_Toc504579939"/>
      <w:bookmarkStart w:id="364" w:name="_Toc504661152"/>
      <w:r w:rsidRPr="00C32E53">
        <w:lastRenderedPageBreak/>
        <w:t>Reflecting an indigenous perspective in legislation: the challenge in New Zealand</w:t>
      </w:r>
      <w:bookmarkEnd w:id="356"/>
      <w:bookmarkEnd w:id="357"/>
      <w:bookmarkEnd w:id="358"/>
      <w:bookmarkEnd w:id="359"/>
      <w:bookmarkEnd w:id="360"/>
      <w:bookmarkEnd w:id="361"/>
      <w:bookmarkEnd w:id="362"/>
      <w:bookmarkEnd w:id="363"/>
      <w:bookmarkEnd w:id="364"/>
    </w:p>
    <w:p w:rsidR="004B2FDB" w:rsidRDefault="009F407B" w:rsidP="004B2FDB">
      <w:pPr>
        <w:pStyle w:val="Heading1B"/>
      </w:pPr>
      <w:bookmarkStart w:id="365" w:name="_Toc1"/>
      <w:bookmarkStart w:id="366" w:name="_Toc498240571"/>
      <w:bookmarkStart w:id="367" w:name="_Toc498240827"/>
      <w:bookmarkStart w:id="368" w:name="_Toc500060196"/>
      <w:bookmarkStart w:id="369" w:name="_Toc501713667"/>
      <w:bookmarkStart w:id="370" w:name="_Toc501713807"/>
      <w:bookmarkStart w:id="371" w:name="_Toc503170557"/>
      <w:bookmarkStart w:id="372" w:name="_Toc503290276"/>
      <w:bookmarkStart w:id="373" w:name="_Toc504579940"/>
      <w:bookmarkStart w:id="374" w:name="_Toc504661153"/>
      <w:r>
        <w:t>Briar Gordon</w:t>
      </w:r>
      <w:r w:rsidR="004B2FDB">
        <w:rPr>
          <w:rFonts w:eastAsia="Arial"/>
          <w:i/>
          <w:iCs/>
          <w:sz w:val="20"/>
          <w:szCs w:val="20"/>
          <w:vertAlign w:val="superscript"/>
        </w:rPr>
        <w:footnoteReference w:id="63"/>
      </w:r>
      <w:bookmarkEnd w:id="365"/>
      <w:bookmarkEnd w:id="366"/>
      <w:bookmarkEnd w:id="367"/>
      <w:bookmarkEnd w:id="368"/>
      <w:bookmarkEnd w:id="369"/>
      <w:bookmarkEnd w:id="370"/>
      <w:bookmarkEnd w:id="371"/>
      <w:bookmarkEnd w:id="372"/>
      <w:bookmarkEnd w:id="373"/>
      <w:bookmarkEnd w:id="374"/>
    </w:p>
    <w:p w:rsidR="00031815" w:rsidRDefault="001F1A24" w:rsidP="001F1A24">
      <w:pPr>
        <w:jc w:val="center"/>
        <w:rPr>
          <w:rFonts w:eastAsia="Arial Unicode MS"/>
        </w:rPr>
      </w:pPr>
      <w:r>
        <w:rPr>
          <w:noProof/>
        </w:rPr>
        <w:drawing>
          <wp:inline distT="0" distB="0" distL="0" distR="0">
            <wp:extent cx="2027583" cy="21577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421" r="14297"/>
                    <a:stretch/>
                  </pic:blipFill>
                  <pic:spPr bwMode="auto">
                    <a:xfrm>
                      <a:off x="0" y="0"/>
                      <a:ext cx="2029736"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E918F2" w:rsidRPr="009D566B" w:rsidRDefault="00E918F2" w:rsidP="00E918F2">
      <w:pPr>
        <w:pStyle w:val="Abstractheading"/>
        <w:rPr>
          <w:lang w:val="en-US"/>
        </w:rPr>
      </w:pPr>
      <w:r w:rsidRPr="009D566B">
        <w:rPr>
          <w:rFonts w:eastAsia="Arial Unicode MS" w:hAnsi="Arial Unicode MS" w:cs="Arial Unicode MS"/>
          <w:lang w:val="en-US"/>
        </w:rPr>
        <w:t>Abstract</w:t>
      </w:r>
    </w:p>
    <w:p w:rsidR="00E918F2" w:rsidRPr="00F13897" w:rsidRDefault="001F1A24" w:rsidP="001F1A24">
      <w:pPr>
        <w:pStyle w:val="Abstract"/>
        <w:rPr>
          <w:lang w:val="en-CA"/>
        </w:rPr>
      </w:pPr>
      <w:r w:rsidRPr="00F13897">
        <w:rPr>
          <w:lang w:val="en-CA"/>
        </w:rPr>
        <w:t xml:space="preserve">This </w:t>
      </w:r>
      <w:r w:rsidR="00F13897">
        <w:rPr>
          <w:lang w:val="en-CA"/>
        </w:rPr>
        <w:t>article</w:t>
      </w:r>
      <w:r w:rsidRPr="00F13897">
        <w:rPr>
          <w:lang w:val="en-CA"/>
        </w:rPr>
        <w:t xml:space="preserve"> seeks to demonstrate how New Zealand parliaments have sought to reflect the indigenous perspective in legislation of general application</w:t>
      </w:r>
      <w:r w:rsidR="00F13897" w:rsidRPr="00F13897">
        <w:rPr>
          <w:lang w:val="en-CA"/>
        </w:rPr>
        <w:t xml:space="preserve"> in the (almost) 178 years since the Treaty of Waitangi was entered into by the British Crown and the Māori tribes of New Zealand</w:t>
      </w:r>
      <w:r w:rsidRPr="00F13897">
        <w:rPr>
          <w:lang w:val="en-CA"/>
        </w:rPr>
        <w:t xml:space="preserve">. </w:t>
      </w:r>
      <w:r w:rsidR="00F13897">
        <w:rPr>
          <w:lang w:val="en-CA"/>
        </w:rPr>
        <w:t>T</w:t>
      </w:r>
      <w:r w:rsidR="00F13897" w:rsidRPr="00F13897">
        <w:rPr>
          <w:lang w:val="en-CA"/>
        </w:rPr>
        <w:t xml:space="preserve">his approach has gained momentum </w:t>
      </w:r>
      <w:r w:rsidR="00F13897">
        <w:rPr>
          <w:lang w:val="en-CA"/>
        </w:rPr>
        <w:t>s</w:t>
      </w:r>
      <w:r w:rsidRPr="00F13897">
        <w:rPr>
          <w:lang w:val="en-CA"/>
        </w:rPr>
        <w:t xml:space="preserve">ince 1975, when the Waitangi Tribunal was set up to make recommendations to the Crown on the practical application of the principles of the Treaty of Waitangi. </w:t>
      </w:r>
      <w:r w:rsidRPr="001F1A24">
        <w:rPr>
          <w:lang w:val="en-CA"/>
        </w:rPr>
        <w:t xml:space="preserve">The Treaty has been incorporated into many general statutes where the subject matter may have particular relevance to Māori, enabling the courts to scrutinise the Crown’s actions in light of the terms of the Treaty and its principles. </w:t>
      </w:r>
      <w:r w:rsidRPr="00F13897">
        <w:rPr>
          <w:lang w:val="en-CA"/>
        </w:rPr>
        <w:t xml:space="preserve">Many Māori cultural concepts have been imported into the language of the general law through the use of words and phrase </w:t>
      </w:r>
      <w:r w:rsidRPr="00F13897">
        <w:rPr>
          <w:b/>
          <w:lang w:val="en-CA"/>
        </w:rPr>
        <w:t>in te reo Māori</w:t>
      </w:r>
      <w:r w:rsidRPr="00F13897">
        <w:rPr>
          <w:lang w:val="en-CA"/>
        </w:rPr>
        <w:t xml:space="preserve"> (the Māori language). The general law has been overridden in favour of Māori interests (</w:t>
      </w:r>
      <w:r w:rsidR="00F13897" w:rsidRPr="00F13897">
        <w:rPr>
          <w:lang w:val="en-CA"/>
        </w:rPr>
        <w:t xml:space="preserve">particularly as it relates to natural resources </w:t>
      </w:r>
      <w:r w:rsidR="00F13897">
        <w:rPr>
          <w:lang w:val="en-CA"/>
        </w:rPr>
        <w:t>and</w:t>
      </w:r>
      <w:r w:rsidRPr="00F13897">
        <w:rPr>
          <w:lang w:val="en-CA"/>
        </w:rPr>
        <w:t xml:space="preserve"> in the context of settling Māori claims under the Treaty), including by conferring legal personality on certain natural resources. The first steps towards a bilingual statute book have </w:t>
      </w:r>
      <w:r w:rsidR="00F13897" w:rsidRPr="00F13897">
        <w:rPr>
          <w:lang w:val="en-CA"/>
        </w:rPr>
        <w:t>al</w:t>
      </w:r>
      <w:r w:rsidR="00F13897">
        <w:rPr>
          <w:lang w:val="en-CA"/>
        </w:rPr>
        <w:t xml:space="preserve">so </w:t>
      </w:r>
      <w:r w:rsidRPr="00F13897">
        <w:rPr>
          <w:lang w:val="en-CA"/>
        </w:rPr>
        <w:t>been taken.</w:t>
      </w:r>
    </w:p>
    <w:p w:rsidR="00397914" w:rsidRDefault="00D93B99" w:rsidP="00397914">
      <w:pPr>
        <w:pStyle w:val="Heading3"/>
        <w:rPr>
          <w:rFonts w:asciiTheme="minorHAnsi" w:eastAsiaTheme="minorEastAsia" w:hAnsiTheme="minorHAnsi" w:cstheme="minorBidi"/>
          <w:noProof/>
          <w:szCs w:val="22"/>
          <w:lang w:val="en-CA" w:eastAsia="en-CA"/>
        </w:rPr>
      </w:pPr>
      <w:bookmarkStart w:id="375" w:name="_Toc500060197"/>
      <w:bookmarkStart w:id="376" w:name="_Toc501713668"/>
      <w:bookmarkStart w:id="377" w:name="_Toc501713808"/>
      <w:bookmarkStart w:id="378" w:name="_Toc503170558"/>
      <w:bookmarkStart w:id="379" w:name="_Toc503290277"/>
      <w:bookmarkStart w:id="380" w:name="_Toc504579941"/>
      <w:bookmarkStart w:id="381" w:name="_Toc498240572"/>
      <w:bookmarkStart w:id="382" w:name="_Toc498240828"/>
      <w:r>
        <w:lastRenderedPageBreak/>
        <w:t>Table of Contents</w:t>
      </w:r>
      <w:bookmarkEnd w:id="375"/>
      <w:bookmarkEnd w:id="376"/>
      <w:bookmarkEnd w:id="377"/>
      <w:bookmarkEnd w:id="378"/>
      <w:bookmarkEnd w:id="379"/>
      <w:bookmarkEnd w:id="380"/>
      <w:r>
        <w:fldChar w:fldCharType="begin"/>
      </w:r>
      <w:r>
        <w:instrText xml:space="preserve"> TOC \o "1-3" \h \z \u </w:instrText>
      </w:r>
      <w:r>
        <w:fldChar w:fldCharType="separate"/>
      </w:r>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58" w:history="1">
        <w:r w:rsidR="00397914" w:rsidRPr="00153C81">
          <w:rPr>
            <w:rStyle w:val="Hyperlink"/>
          </w:rPr>
          <w:t>Table of Contents</w:t>
        </w:r>
        <w:r w:rsidR="00397914">
          <w:rPr>
            <w:webHidden/>
          </w:rPr>
          <w:tab/>
        </w:r>
        <w:r w:rsidR="00397914">
          <w:rPr>
            <w:webHidden/>
          </w:rPr>
          <w:fldChar w:fldCharType="begin"/>
        </w:r>
        <w:r w:rsidR="00397914">
          <w:rPr>
            <w:webHidden/>
          </w:rPr>
          <w:instrText xml:space="preserve"> PAGEREF _Toc503170558 \h </w:instrText>
        </w:r>
        <w:r w:rsidR="00397914">
          <w:rPr>
            <w:webHidden/>
          </w:rPr>
        </w:r>
        <w:r w:rsidR="00397914">
          <w:rPr>
            <w:webHidden/>
          </w:rPr>
          <w:fldChar w:fldCharType="separate"/>
        </w:r>
        <w:r w:rsidR="00D10211">
          <w:rPr>
            <w:webHidden/>
          </w:rPr>
          <w:t>82</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59" w:history="1">
        <w:r w:rsidR="00397914" w:rsidRPr="00153C81">
          <w:rPr>
            <w:rStyle w:val="Hyperlink"/>
            <w:lang w:val="en-CA"/>
          </w:rPr>
          <w:t>Introduction: Scope and Structure</w:t>
        </w:r>
        <w:r w:rsidR="00397914">
          <w:rPr>
            <w:webHidden/>
          </w:rPr>
          <w:tab/>
        </w:r>
        <w:r w:rsidR="00397914">
          <w:rPr>
            <w:webHidden/>
          </w:rPr>
          <w:fldChar w:fldCharType="begin"/>
        </w:r>
        <w:r w:rsidR="00397914">
          <w:rPr>
            <w:webHidden/>
          </w:rPr>
          <w:instrText xml:space="preserve"> PAGEREF _Toc503170559 \h </w:instrText>
        </w:r>
        <w:r w:rsidR="00397914">
          <w:rPr>
            <w:webHidden/>
          </w:rPr>
        </w:r>
        <w:r w:rsidR="00397914">
          <w:rPr>
            <w:webHidden/>
          </w:rPr>
          <w:fldChar w:fldCharType="separate"/>
        </w:r>
        <w:r w:rsidR="00D10211">
          <w:rPr>
            <w:webHidden/>
          </w:rPr>
          <w:t>82</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60" w:history="1">
        <w:r w:rsidR="00397914" w:rsidRPr="00153C81">
          <w:rPr>
            <w:rStyle w:val="Hyperlink"/>
          </w:rPr>
          <w:t>Structure</w:t>
        </w:r>
        <w:r w:rsidR="00397914">
          <w:rPr>
            <w:webHidden/>
          </w:rPr>
          <w:tab/>
        </w:r>
        <w:r w:rsidR="00397914">
          <w:rPr>
            <w:webHidden/>
          </w:rPr>
          <w:fldChar w:fldCharType="begin"/>
        </w:r>
        <w:r w:rsidR="00397914">
          <w:rPr>
            <w:webHidden/>
          </w:rPr>
          <w:instrText xml:space="preserve"> PAGEREF _Toc503170560 \h </w:instrText>
        </w:r>
        <w:r w:rsidR="00397914">
          <w:rPr>
            <w:webHidden/>
          </w:rPr>
        </w:r>
        <w:r w:rsidR="00397914">
          <w:rPr>
            <w:webHidden/>
          </w:rPr>
          <w:fldChar w:fldCharType="separate"/>
        </w:r>
        <w:r w:rsidR="00D10211">
          <w:rPr>
            <w:webHidden/>
          </w:rPr>
          <w:t>83</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61" w:history="1">
        <w:r w:rsidR="00397914" w:rsidRPr="00153C81">
          <w:rPr>
            <w:rStyle w:val="Hyperlink"/>
          </w:rPr>
          <w:t>Beginnings of the nation state</w:t>
        </w:r>
        <w:r w:rsidR="00397914">
          <w:rPr>
            <w:webHidden/>
          </w:rPr>
          <w:tab/>
        </w:r>
        <w:r w:rsidR="00397914">
          <w:rPr>
            <w:webHidden/>
          </w:rPr>
          <w:fldChar w:fldCharType="begin"/>
        </w:r>
        <w:r w:rsidR="00397914">
          <w:rPr>
            <w:webHidden/>
          </w:rPr>
          <w:instrText xml:space="preserve"> PAGEREF _Toc503170561 \h </w:instrText>
        </w:r>
        <w:r w:rsidR="00397914">
          <w:rPr>
            <w:webHidden/>
          </w:rPr>
        </w:r>
        <w:r w:rsidR="00397914">
          <w:rPr>
            <w:webHidden/>
          </w:rPr>
          <w:fldChar w:fldCharType="separate"/>
        </w:r>
        <w:r w:rsidR="00D10211">
          <w:rPr>
            <w:webHidden/>
          </w:rPr>
          <w:t>83</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62" w:history="1">
        <w:r w:rsidR="00397914" w:rsidRPr="00153C81">
          <w:rPr>
            <w:rStyle w:val="Hyperlink"/>
          </w:rPr>
          <w:t>Twentieth century developments</w:t>
        </w:r>
        <w:r w:rsidR="00397914">
          <w:rPr>
            <w:webHidden/>
          </w:rPr>
          <w:tab/>
        </w:r>
        <w:r w:rsidR="00397914">
          <w:rPr>
            <w:webHidden/>
          </w:rPr>
          <w:fldChar w:fldCharType="begin"/>
        </w:r>
        <w:r w:rsidR="00397914">
          <w:rPr>
            <w:webHidden/>
          </w:rPr>
          <w:instrText xml:space="preserve"> PAGEREF _Toc503170562 \h </w:instrText>
        </w:r>
        <w:r w:rsidR="00397914">
          <w:rPr>
            <w:webHidden/>
          </w:rPr>
        </w:r>
        <w:r w:rsidR="00397914">
          <w:rPr>
            <w:webHidden/>
          </w:rPr>
          <w:fldChar w:fldCharType="separate"/>
        </w:r>
        <w:r w:rsidR="00D10211">
          <w:rPr>
            <w:webHidden/>
          </w:rPr>
          <w:t>88</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63" w:history="1">
        <w:r w:rsidR="00397914" w:rsidRPr="00153C81">
          <w:rPr>
            <w:rStyle w:val="Hyperlink"/>
          </w:rPr>
          <w:t>Te reo Māori in legislation of general application</w:t>
        </w:r>
        <w:r w:rsidR="00397914">
          <w:rPr>
            <w:webHidden/>
          </w:rPr>
          <w:tab/>
        </w:r>
        <w:r w:rsidR="00397914">
          <w:rPr>
            <w:webHidden/>
          </w:rPr>
          <w:fldChar w:fldCharType="begin"/>
        </w:r>
        <w:r w:rsidR="00397914">
          <w:rPr>
            <w:webHidden/>
          </w:rPr>
          <w:instrText xml:space="preserve"> PAGEREF _Toc503170563 \h </w:instrText>
        </w:r>
        <w:r w:rsidR="00397914">
          <w:rPr>
            <w:webHidden/>
          </w:rPr>
        </w:r>
        <w:r w:rsidR="00397914">
          <w:rPr>
            <w:webHidden/>
          </w:rPr>
          <w:fldChar w:fldCharType="separate"/>
        </w:r>
        <w:r w:rsidR="00D10211">
          <w:rPr>
            <w:webHidden/>
          </w:rPr>
          <w:t>91</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64" w:history="1">
        <w:r w:rsidR="00397914" w:rsidRPr="00153C81">
          <w:rPr>
            <w:rStyle w:val="Hyperlink"/>
          </w:rPr>
          <w:t>Treaty settlement statutes</w:t>
        </w:r>
        <w:r w:rsidR="00397914">
          <w:rPr>
            <w:webHidden/>
          </w:rPr>
          <w:tab/>
        </w:r>
        <w:r w:rsidR="00397914">
          <w:rPr>
            <w:webHidden/>
          </w:rPr>
          <w:fldChar w:fldCharType="begin"/>
        </w:r>
        <w:r w:rsidR="00397914">
          <w:rPr>
            <w:webHidden/>
          </w:rPr>
          <w:instrText xml:space="preserve"> PAGEREF _Toc503170564 \h </w:instrText>
        </w:r>
        <w:r w:rsidR="00397914">
          <w:rPr>
            <w:webHidden/>
          </w:rPr>
        </w:r>
        <w:r w:rsidR="00397914">
          <w:rPr>
            <w:webHidden/>
          </w:rPr>
          <w:fldChar w:fldCharType="separate"/>
        </w:r>
        <w:r w:rsidR="00D10211">
          <w:rPr>
            <w:webHidden/>
          </w:rPr>
          <w:t>96</w:t>
        </w:r>
        <w:r w:rsidR="00397914">
          <w:rPr>
            <w:webHidden/>
          </w:rPr>
          <w:fldChar w:fldCharType="end"/>
        </w:r>
      </w:hyperlink>
    </w:p>
    <w:p w:rsidR="00397914" w:rsidRDefault="00D22D1E">
      <w:pPr>
        <w:pStyle w:val="TOC3"/>
        <w:tabs>
          <w:tab w:val="right" w:leader="dot" w:pos="9350"/>
        </w:tabs>
        <w:rPr>
          <w:rFonts w:asciiTheme="minorHAnsi" w:eastAsiaTheme="minorEastAsia" w:hAnsiTheme="minorHAnsi" w:cstheme="minorBidi"/>
          <w:b w:val="0"/>
          <w:sz w:val="22"/>
          <w:szCs w:val="22"/>
          <w:lang w:val="en-CA" w:eastAsia="en-CA"/>
        </w:rPr>
      </w:pPr>
      <w:hyperlink w:anchor="_Toc503170565" w:history="1">
        <w:r w:rsidR="00397914" w:rsidRPr="00153C81">
          <w:rPr>
            <w:rStyle w:val="Hyperlink"/>
          </w:rPr>
          <w:t>Finally …</w:t>
        </w:r>
        <w:r w:rsidR="00397914">
          <w:rPr>
            <w:webHidden/>
          </w:rPr>
          <w:tab/>
        </w:r>
        <w:r w:rsidR="00397914">
          <w:rPr>
            <w:webHidden/>
          </w:rPr>
          <w:fldChar w:fldCharType="begin"/>
        </w:r>
        <w:r w:rsidR="00397914">
          <w:rPr>
            <w:webHidden/>
          </w:rPr>
          <w:instrText xml:space="preserve"> PAGEREF _Toc503170565 \h </w:instrText>
        </w:r>
        <w:r w:rsidR="00397914">
          <w:rPr>
            <w:webHidden/>
          </w:rPr>
        </w:r>
        <w:r w:rsidR="00397914">
          <w:rPr>
            <w:webHidden/>
          </w:rPr>
          <w:fldChar w:fldCharType="separate"/>
        </w:r>
        <w:r w:rsidR="00D10211">
          <w:rPr>
            <w:webHidden/>
          </w:rPr>
          <w:t>104</w:t>
        </w:r>
        <w:r w:rsidR="00397914">
          <w:rPr>
            <w:webHidden/>
          </w:rPr>
          <w:fldChar w:fldCharType="end"/>
        </w:r>
      </w:hyperlink>
    </w:p>
    <w:p w:rsidR="00397914" w:rsidRDefault="00D22D1E" w:rsidP="00397914">
      <w:pPr>
        <w:pStyle w:val="TOC3"/>
        <w:tabs>
          <w:tab w:val="right" w:leader="dot" w:pos="9350"/>
        </w:tabs>
        <w:rPr>
          <w:rFonts w:asciiTheme="minorHAnsi" w:eastAsiaTheme="minorEastAsia" w:hAnsiTheme="minorHAnsi" w:cstheme="minorBidi"/>
          <w:b w:val="0"/>
          <w:sz w:val="22"/>
          <w:szCs w:val="22"/>
          <w:lang w:val="en-CA" w:eastAsia="en-CA"/>
        </w:rPr>
      </w:pPr>
      <w:hyperlink w:anchor="_Toc503170566" w:history="1">
        <w:r w:rsidR="00397914" w:rsidRPr="00153C81">
          <w:rPr>
            <w:rStyle w:val="Hyperlink"/>
          </w:rPr>
          <w:t>Glossary of Māori terms</w:t>
        </w:r>
        <w:r w:rsidR="00397914">
          <w:rPr>
            <w:webHidden/>
          </w:rPr>
          <w:tab/>
        </w:r>
        <w:r w:rsidR="00397914">
          <w:rPr>
            <w:webHidden/>
          </w:rPr>
          <w:fldChar w:fldCharType="begin"/>
        </w:r>
        <w:r w:rsidR="00397914">
          <w:rPr>
            <w:webHidden/>
          </w:rPr>
          <w:instrText xml:space="preserve"> PAGEREF _Toc503170566 \h </w:instrText>
        </w:r>
        <w:r w:rsidR="00397914">
          <w:rPr>
            <w:webHidden/>
          </w:rPr>
        </w:r>
        <w:r w:rsidR="00397914">
          <w:rPr>
            <w:webHidden/>
          </w:rPr>
          <w:fldChar w:fldCharType="separate"/>
        </w:r>
        <w:r w:rsidR="00D10211">
          <w:rPr>
            <w:webHidden/>
          </w:rPr>
          <w:t>104</w:t>
        </w:r>
        <w:r w:rsidR="00397914">
          <w:rPr>
            <w:webHidden/>
          </w:rPr>
          <w:fldChar w:fldCharType="end"/>
        </w:r>
      </w:hyperlink>
    </w:p>
    <w:p w:rsidR="00397914" w:rsidRDefault="00D93B99" w:rsidP="00397914">
      <w:pPr>
        <w:pStyle w:val="Heading3"/>
        <w:rPr>
          <w:lang w:val="en-CA"/>
        </w:rPr>
      </w:pPr>
      <w:r>
        <w:fldChar w:fldCharType="end"/>
      </w:r>
      <w:bookmarkEnd w:id="381"/>
      <w:bookmarkEnd w:id="382"/>
      <w:r w:rsidR="00397914" w:rsidRPr="00397914">
        <w:rPr>
          <w:lang w:val="en-CA"/>
        </w:rPr>
        <w:t xml:space="preserve"> </w:t>
      </w:r>
      <w:bookmarkStart w:id="383" w:name="_Toc503170559"/>
      <w:bookmarkStart w:id="384" w:name="_Toc503290278"/>
      <w:bookmarkStart w:id="385" w:name="_Toc504579942"/>
      <w:r w:rsidR="00397914">
        <w:rPr>
          <w:lang w:val="en-CA"/>
        </w:rPr>
        <w:t>Introduction: Scope and Structure</w:t>
      </w:r>
      <w:bookmarkEnd w:id="383"/>
      <w:bookmarkEnd w:id="384"/>
      <w:bookmarkEnd w:id="385"/>
    </w:p>
    <w:p w:rsidR="00397914" w:rsidRDefault="00397914" w:rsidP="00397914">
      <w:pPr>
        <w:pStyle w:val="Normaltext1"/>
      </w:pPr>
      <w:r>
        <w:t xml:space="preserve">My focus in this paper is on the inclusion of the Māori perspective of the world, </w:t>
      </w:r>
      <w:r>
        <w:rPr>
          <w:i/>
        </w:rPr>
        <w:t xml:space="preserve">te ao </w:t>
      </w:r>
      <w:r w:rsidRPr="007A0CD0">
        <w:rPr>
          <w:i/>
        </w:rPr>
        <w:t>Māori</w:t>
      </w:r>
      <w:r>
        <w:t xml:space="preserve">, in the statute law of New Zealand, as an aspect of the way in which society, through its legislation, provides recognition for the indigenous perspective. It is not a paper about equality under the law, but about how New Zealand legislators reflect, in the statute book, elements of the cultural context of Māori, the indigenous people of New Zealand. </w:t>
      </w:r>
    </w:p>
    <w:p w:rsidR="00397914" w:rsidRDefault="00397914" w:rsidP="00397914">
      <w:pPr>
        <w:pStyle w:val="Normaltext1"/>
      </w:pPr>
      <w:r>
        <w:t>New Zealand comprises people from many ethnic and cultural backgrounds.</w:t>
      </w:r>
      <w:bookmarkStart w:id="386" w:name="_Ref499149719"/>
      <w:r>
        <w:rPr>
          <w:rStyle w:val="FootnoteReference"/>
        </w:rPr>
        <w:footnoteReference w:id="64"/>
      </w:r>
      <w:bookmarkEnd w:id="386"/>
      <w:r>
        <w:t xml:space="preserve"> When we or our forebears arrived, all of us but Māori were </w:t>
      </w:r>
      <w:r>
        <w:rPr>
          <w:i/>
        </w:rPr>
        <w:t>tauiwi</w:t>
      </w:r>
      <w:r>
        <w:t xml:space="preserve"> (foreigners). The early settler government had some appreciation of certain areas of distinctive Māori culture, but as the flow of migrant settlers began to swamp the Māori population, at least from the 1890s, those distinctions were easily subsumed in the developing assimilationist policies designed to meet the colonists’ need for land. However, in the last 30 to 40 years a trend has emerged in our statute law that reflects Māori cultural concepts, but it is moot whether the same is true of </w:t>
      </w:r>
      <w:r w:rsidRPr="000A6A52">
        <w:rPr>
          <w:i/>
        </w:rPr>
        <w:t>tikanga Māori</w:t>
      </w:r>
      <w:r>
        <w:t>, a custom-based system of precepts and practices that guide the right way of doing things.</w:t>
      </w:r>
    </w:p>
    <w:p w:rsidR="00397914" w:rsidRDefault="00397914" w:rsidP="00397914">
      <w:pPr>
        <w:pStyle w:val="Normaltext1"/>
      </w:pPr>
      <w:r>
        <w:t xml:space="preserve">The Māori people are traditionally a tribal society, but there was always considerable movement between tribes, as by strategic marriages. An </w:t>
      </w:r>
      <w:r>
        <w:rPr>
          <w:i/>
        </w:rPr>
        <w:t xml:space="preserve">iwi </w:t>
      </w:r>
      <w:r>
        <w:t xml:space="preserve">(tribe) comprises a number of </w:t>
      </w:r>
      <w:r>
        <w:rPr>
          <w:i/>
        </w:rPr>
        <w:lastRenderedPageBreak/>
        <w:t>hapū</w:t>
      </w:r>
      <w:r>
        <w:t xml:space="preserve"> (subtribes), and a </w:t>
      </w:r>
      <w:r w:rsidRPr="00457983">
        <w:rPr>
          <w:i/>
        </w:rPr>
        <w:t xml:space="preserve">hapū </w:t>
      </w:r>
      <w:r>
        <w:t xml:space="preserve">comprises several </w:t>
      </w:r>
      <w:r>
        <w:rPr>
          <w:i/>
        </w:rPr>
        <w:t>whānau</w:t>
      </w:r>
      <w:r>
        <w:t xml:space="preserve"> (families).</w:t>
      </w:r>
      <w:r>
        <w:rPr>
          <w:rStyle w:val="FootnoteReference"/>
        </w:rPr>
        <w:footnoteReference w:id="65"/>
      </w:r>
      <w:r>
        <w:t xml:space="preserve"> An </w:t>
      </w:r>
      <w:r w:rsidRPr="00397914">
        <w:rPr>
          <w:i/>
        </w:rPr>
        <w:t>iwi</w:t>
      </w:r>
      <w:r>
        <w:t xml:space="preserve"> and its </w:t>
      </w:r>
      <w:r w:rsidRPr="00397914">
        <w:rPr>
          <w:i/>
        </w:rPr>
        <w:t>hapū</w:t>
      </w:r>
      <w:r>
        <w:t xml:space="preserve"> are largely defined by their </w:t>
      </w:r>
      <w:r w:rsidRPr="007F1C57">
        <w:rPr>
          <w:i/>
        </w:rPr>
        <w:t>whakapapa</w:t>
      </w:r>
      <w:r>
        <w:t xml:space="preserve"> (descent lineage), and their areas of traditional interest (</w:t>
      </w:r>
      <w:r>
        <w:rPr>
          <w:i/>
        </w:rPr>
        <w:t>rohe</w:t>
      </w:r>
      <w:r>
        <w:t>). For Māori,</w:t>
      </w:r>
      <w:r>
        <w:rPr>
          <w:i/>
        </w:rPr>
        <w:t xml:space="preserve"> tūpuna</w:t>
      </w:r>
      <w:r>
        <w:t xml:space="preserve"> (ancestors) and the land are critical to who people are. Tribal loyalties, particularly in rural areas, remain strong to this day, though Māori are highly mobile and integrated into the wider community.</w:t>
      </w:r>
    </w:p>
    <w:p w:rsidR="00397914" w:rsidRDefault="00397914" w:rsidP="00397914">
      <w:pPr>
        <w:pStyle w:val="Normaltext1"/>
      </w:pPr>
      <w:r>
        <w:t>There is one law applying in New Zealand: we have not yet addressed the question of a bijural legal system. Our present approach is rather that of a fused jurisdiction in which we include Māori concepts within a largely western paradigm, often defining the Māori words with English words and concepts.</w:t>
      </w:r>
    </w:p>
    <w:p w:rsidR="00397914" w:rsidRDefault="00397914" w:rsidP="00397914">
      <w:pPr>
        <w:pStyle w:val="Normaltext1"/>
      </w:pPr>
      <w:r>
        <w:t>In what follows, the background of history is sketched in as an important element in making sense of our current directions.</w:t>
      </w:r>
    </w:p>
    <w:p w:rsidR="00397914" w:rsidRDefault="00397914" w:rsidP="00397914">
      <w:pPr>
        <w:pStyle w:val="Heading3"/>
      </w:pPr>
      <w:bookmarkStart w:id="387" w:name="_Toc503170560"/>
      <w:bookmarkStart w:id="388" w:name="_Toc503290279"/>
      <w:bookmarkStart w:id="389" w:name="_Toc504579943"/>
      <w:r w:rsidRPr="007B5156">
        <w:t>Structure</w:t>
      </w:r>
      <w:bookmarkEnd w:id="387"/>
      <w:bookmarkEnd w:id="388"/>
      <w:bookmarkEnd w:id="389"/>
    </w:p>
    <w:p w:rsidR="00397914" w:rsidRPr="006041B3" w:rsidRDefault="00397914" w:rsidP="00397914">
      <w:pPr>
        <w:pStyle w:val="Normaltext1"/>
      </w:pPr>
      <w:r>
        <w:t>This paper covers the following matters:</w:t>
      </w:r>
    </w:p>
    <w:p w:rsidR="00397914" w:rsidRDefault="00397914" w:rsidP="00397914">
      <w:pPr>
        <w:pStyle w:val="Bullet1"/>
      </w:pPr>
      <w:r w:rsidRPr="006A129B">
        <w:t>Historical backgroun</w:t>
      </w:r>
      <w:r>
        <w:t>d: the beginnings of the nation s</w:t>
      </w:r>
      <w:r w:rsidRPr="006A129B">
        <w:t>tate</w:t>
      </w:r>
    </w:p>
    <w:p w:rsidR="00397914" w:rsidRPr="006A129B" w:rsidRDefault="00397914" w:rsidP="00397914">
      <w:pPr>
        <w:pStyle w:val="bullet2"/>
      </w:pPr>
      <w:r>
        <w:t>Assimilation and representation</w:t>
      </w:r>
    </w:p>
    <w:p w:rsidR="00397914" w:rsidRPr="006A129B" w:rsidRDefault="00397914" w:rsidP="00397914">
      <w:pPr>
        <w:pStyle w:val="Bullet1"/>
      </w:pPr>
      <w:r>
        <w:t>Twentieth</w:t>
      </w:r>
      <w:r w:rsidRPr="006A129B">
        <w:t xml:space="preserve"> century developments: </w:t>
      </w:r>
    </w:p>
    <w:p w:rsidR="00397914" w:rsidRPr="006A129B" w:rsidRDefault="00397914" w:rsidP="00397914">
      <w:pPr>
        <w:pStyle w:val="bullet2"/>
      </w:pPr>
      <w:r w:rsidRPr="006A129B">
        <w:t>Protest</w:t>
      </w:r>
      <w:r>
        <w:t xml:space="preserve"> and e</w:t>
      </w:r>
      <w:r w:rsidRPr="006A129B">
        <w:t>stablishment of the Waitangi Tribunal</w:t>
      </w:r>
    </w:p>
    <w:p w:rsidR="00397914" w:rsidRPr="006A129B" w:rsidRDefault="00397914" w:rsidP="00397914">
      <w:pPr>
        <w:pStyle w:val="bullet2"/>
      </w:pPr>
      <w:r w:rsidRPr="006A129B">
        <w:t>Incorporation of the Treaty of Waitangi in legislation</w:t>
      </w:r>
    </w:p>
    <w:p w:rsidR="00397914" w:rsidRPr="006A129B" w:rsidRDefault="00397914" w:rsidP="00397914">
      <w:pPr>
        <w:pStyle w:val="Bullet1"/>
      </w:pPr>
      <w:r w:rsidRPr="00744328">
        <w:rPr>
          <w:i/>
        </w:rPr>
        <w:t>Te reo Māori</w:t>
      </w:r>
      <w:r w:rsidRPr="006A129B">
        <w:t xml:space="preserve"> in legislation of general application</w:t>
      </w:r>
    </w:p>
    <w:p w:rsidR="00397914" w:rsidRPr="006A129B" w:rsidRDefault="00397914" w:rsidP="00397914">
      <w:pPr>
        <w:pStyle w:val="bullet2"/>
      </w:pPr>
      <w:r w:rsidRPr="00744328">
        <w:rPr>
          <w:i/>
        </w:rPr>
        <w:t>Tikanga</w:t>
      </w:r>
      <w:r w:rsidRPr="006A129B">
        <w:t>: a Māori legal system</w:t>
      </w:r>
    </w:p>
    <w:p w:rsidR="00397914" w:rsidRPr="006A129B" w:rsidRDefault="00397914" w:rsidP="00397914">
      <w:pPr>
        <w:pStyle w:val="bullet2"/>
      </w:pPr>
      <w:r w:rsidRPr="006A129B">
        <w:t>Terms relevant to the environment</w:t>
      </w:r>
    </w:p>
    <w:p w:rsidR="00397914" w:rsidRPr="006A129B" w:rsidRDefault="00397914" w:rsidP="00397914">
      <w:pPr>
        <w:pStyle w:val="bullet2"/>
      </w:pPr>
      <w:r>
        <w:t>T</w:t>
      </w:r>
      <w:r w:rsidRPr="006A129B">
        <w:t>erms depicting relationships and status</w:t>
      </w:r>
    </w:p>
    <w:p w:rsidR="00397914" w:rsidRPr="006A129B" w:rsidRDefault="00397914" w:rsidP="00397914">
      <w:pPr>
        <w:pStyle w:val="bullet2"/>
      </w:pPr>
      <w:r>
        <w:t>F</w:t>
      </w:r>
      <w:r w:rsidRPr="006A129B">
        <w:t>amily relationships</w:t>
      </w:r>
      <w:r>
        <w:t xml:space="preserve">: </w:t>
      </w:r>
      <w:r w:rsidRPr="00744328">
        <w:rPr>
          <w:i/>
        </w:rPr>
        <w:t>whanaungatanga</w:t>
      </w:r>
    </w:p>
    <w:p w:rsidR="00397914" w:rsidRDefault="00397914" w:rsidP="00397914">
      <w:pPr>
        <w:pStyle w:val="Bullet1"/>
      </w:pPr>
      <w:r w:rsidRPr="006A129B">
        <w:t>Treaty settlement statutes</w:t>
      </w:r>
    </w:p>
    <w:p w:rsidR="00397914" w:rsidRDefault="00397914" w:rsidP="00397914">
      <w:pPr>
        <w:pStyle w:val="bullet2"/>
      </w:pPr>
      <w:r>
        <w:t xml:space="preserve">Legal personality: </w:t>
      </w:r>
      <w:r w:rsidRPr="00744328">
        <w:rPr>
          <w:i/>
        </w:rPr>
        <w:t>Te Urewera and Te Awa Tupua</w:t>
      </w:r>
    </w:p>
    <w:p w:rsidR="00397914" w:rsidRPr="006A129B" w:rsidRDefault="00397914" w:rsidP="00397914">
      <w:pPr>
        <w:pStyle w:val="bullet2"/>
      </w:pPr>
      <w:r w:rsidRPr="006A129B">
        <w:t>Dual language legislation</w:t>
      </w:r>
    </w:p>
    <w:p w:rsidR="00397914" w:rsidRPr="003220FB" w:rsidRDefault="00397914" w:rsidP="00397914">
      <w:pPr>
        <w:pStyle w:val="Heading3"/>
        <w:rPr>
          <w:i/>
        </w:rPr>
      </w:pPr>
      <w:bookmarkStart w:id="390" w:name="_Toc503170561"/>
      <w:bookmarkStart w:id="391" w:name="_Toc503290280"/>
      <w:bookmarkStart w:id="392" w:name="_Toc504579944"/>
      <w:r>
        <w:t>Beginnings of the nation s</w:t>
      </w:r>
      <w:r w:rsidRPr="0031070A">
        <w:t>tate</w:t>
      </w:r>
      <w:bookmarkEnd w:id="390"/>
      <w:bookmarkEnd w:id="391"/>
      <w:bookmarkEnd w:id="392"/>
    </w:p>
    <w:p w:rsidR="00397914" w:rsidRDefault="00397914" w:rsidP="00397914">
      <w:pPr>
        <w:pStyle w:val="Normaltext1"/>
      </w:pPr>
      <w:r>
        <w:t>Before the advent of any official involvement of Europeans in New Zealand, there was one law in New Zealand, its first law,</w:t>
      </w:r>
      <w:r>
        <w:rPr>
          <w:i/>
        </w:rPr>
        <w:t xml:space="preserve"> tikanga Māori</w:t>
      </w:r>
      <w:r>
        <w:t>.</w:t>
      </w:r>
      <w:bookmarkStart w:id="393" w:name="_Ref499147455"/>
      <w:r>
        <w:rPr>
          <w:rStyle w:val="FootnoteReference"/>
        </w:rPr>
        <w:footnoteReference w:id="66"/>
      </w:r>
      <w:bookmarkEnd w:id="393"/>
      <w:r>
        <w:t xml:space="preserve"> From the end of the 18</w:t>
      </w:r>
      <w:r w:rsidRPr="003220FB">
        <w:t>th</w:t>
      </w:r>
      <w:r>
        <w:t xml:space="preserve"> century there </w:t>
      </w:r>
      <w:r>
        <w:lastRenderedPageBreak/>
        <w:t>came European explorers, sealers, whalers, and traders. Māori engaged with them, whether under duress or willingly and enthusiastically. But with this development there also came lawlessness, especially given the ease with which muskets were acquired from traders for intertribal warfare.</w:t>
      </w:r>
      <w:r>
        <w:rPr>
          <w:rStyle w:val="FootnoteReference"/>
        </w:rPr>
        <w:footnoteReference w:id="67"/>
      </w:r>
      <w:r>
        <w:t xml:space="preserve"> From 1814, missionaries also had a significant influence, often as part of the anti-slavery movement gathering support in the first decades of the century. </w:t>
      </w:r>
    </w:p>
    <w:p w:rsidR="00397914" w:rsidRDefault="00397914" w:rsidP="00397914">
      <w:pPr>
        <w:pStyle w:val="Normaltext1"/>
      </w:pPr>
      <w:r>
        <w:t>The first official intervention of the British in New Zealand, mainly in the north of the North Island, came about in 1832—the Governor of the Colony of New South Wales appointed an official British Resident, James Busby, to represent British law and order in New Zealand. Busby, a New South Wales settler</w:t>
      </w:r>
      <w:r>
        <w:rPr>
          <w:rFonts w:ascii="Courier New" w:hAnsi="Courier New" w:cs="Courier New"/>
        </w:rPr>
        <w:t>-</w:t>
      </w:r>
      <w:r>
        <w:t>viticulturist, had no real “teeth” with which to deal with “the sorry picture of anarchy, bloodshed, and ruin” that existed in parts of the country during the 1830s.</w:t>
      </w:r>
      <w:bookmarkStart w:id="394" w:name="_Ref499144557"/>
      <w:r>
        <w:rPr>
          <w:rStyle w:val="FootnoteReference"/>
        </w:rPr>
        <w:footnoteReference w:id="68"/>
      </w:r>
      <w:bookmarkEnd w:id="394"/>
      <w:r>
        <w:t xml:space="preserve"> By Letters Patent issued in June 1839, New Zealand became a dependency of the Colony of New South Wales, and the laws of that colony were extended to New Zealand. Meanwhile, the plans of the New Zealand Company to establish a colony in New Zealand set alarm bells ringing in England, hastening the Colonial Office to despatch William Hobson of the Royal Navy in 1839 with instructions from Lord Normanby, Secretary for War and the Colonies, to establish the colony of New Zealand.  </w:t>
      </w:r>
    </w:p>
    <w:p w:rsidR="00397914" w:rsidRDefault="00397914" w:rsidP="00397914">
      <w:pPr>
        <w:pStyle w:val="Normaltext1"/>
      </w:pPr>
      <w:r>
        <w:t>A defining point in New Zealand’s story occurred when Hobson secured, as he had been instructed to do, the voluntary transfer of sovereignty from Māori to the British Crown through the signing on 6 February 1840 of the Treaty of Waitangi. This did not serve to establish the colony, but was an important step in legitimising the settlement of the land. There were initially 43 Māori signatories at Waitangi, but over 500 chiefs from across the country ultimately endorsed it over a period of about 5 months.</w:t>
      </w:r>
      <w:bookmarkStart w:id="395" w:name="_Ref499144583"/>
      <w:r>
        <w:rPr>
          <w:rStyle w:val="FootnoteReference"/>
        </w:rPr>
        <w:footnoteReference w:id="69"/>
      </w:r>
      <w:bookmarkEnd w:id="395"/>
      <w:r>
        <w:t xml:space="preserve"> It is said that at Waitangi Hobson greeted each chief with the words “</w:t>
      </w:r>
      <w:r w:rsidRPr="00397914">
        <w:rPr>
          <w:i/>
        </w:rPr>
        <w:t>Hei iwi tahi tatou</w:t>
      </w:r>
      <w:r>
        <w:t xml:space="preserve">”, “We are one people”, suggesting that a monocultural society had been created by the act of cession and conferral of equal citizenship. </w:t>
      </w:r>
    </w:p>
    <w:p w:rsidR="00397914" w:rsidRDefault="00397914" w:rsidP="00397914">
      <w:pPr>
        <w:pStyle w:val="Normaltext1"/>
      </w:pPr>
      <w:r>
        <w:t xml:space="preserve">Importantly, the Queen, in the words of the Treaty, recognised the status of Māori as independent tribes occupying the whole country, the proprietors of the territory over which sovereignty was ceded to the British Queen. Examination of the words of the Treaty, however, reveals inconsistencies in what each party may have understood the effect of the Treaty to be. Whatever was intended or understood by the English version of this document, it is arguable that the Treaty in its two </w:t>
      </w:r>
      <w:r w:rsidRPr="004C0ED1">
        <w:t>version</w:t>
      </w:r>
      <w:r>
        <w:t xml:space="preserve">s suggests that a pluralist framework was </w:t>
      </w:r>
      <w:r>
        <w:lastRenderedPageBreak/>
        <w:t>envisaged under which two forms of political and legal authority would co-exist: that of the Chiefs on the one hand, and the Governor on the other.</w:t>
      </w:r>
    </w:p>
    <w:p w:rsidR="00397914" w:rsidRDefault="00397914" w:rsidP="00397914">
      <w:pPr>
        <w:pStyle w:val="Normaltext1"/>
      </w:pPr>
      <w:r>
        <w:t xml:space="preserve">Article 1, in the English version, states that: </w:t>
      </w:r>
    </w:p>
    <w:p w:rsidR="00397914" w:rsidRDefault="00397914" w:rsidP="00397914">
      <w:pPr>
        <w:pStyle w:val="Normaltext2"/>
      </w:pPr>
      <w:r>
        <w:t xml:space="preserve">the Chiefs …  cede to Her Majesty the Queen of England absolutely and without reservation all the rights and powers of Sovereignty which [they] respectively exercise or possess, or may be supposed to exercise or to possess over their respective Territories as the sole Sovereigns thereof.  </w:t>
      </w:r>
    </w:p>
    <w:p w:rsidR="00397914" w:rsidRDefault="00397914" w:rsidP="00397914">
      <w:pPr>
        <w:pStyle w:val="Normaltext1"/>
      </w:pPr>
      <w:r>
        <w:t>Under the Māori version, they gave to the Queen of England:</w:t>
      </w:r>
    </w:p>
    <w:p w:rsidR="00397914" w:rsidRDefault="00397914" w:rsidP="00397914">
      <w:pPr>
        <w:pStyle w:val="Normaltext2"/>
      </w:pPr>
      <w:r w:rsidRPr="00EA6179">
        <w:rPr>
          <w:i/>
        </w:rPr>
        <w:t>te Kawanatanga katoa ō rātou wenua</w:t>
      </w:r>
      <w:r>
        <w:t xml:space="preserve"> (absolutely for ever the government of all their lands)</w:t>
      </w:r>
    </w:p>
    <w:p w:rsidR="00397914" w:rsidRDefault="00397914" w:rsidP="00397914">
      <w:pPr>
        <w:pStyle w:val="Normaltext1"/>
      </w:pPr>
      <w:r>
        <w:t>Article 2, in the English version, guaranteed the private property rights of the Chiefs:</w:t>
      </w:r>
    </w:p>
    <w:p w:rsidR="00397914" w:rsidRDefault="00397914" w:rsidP="00397914">
      <w:pPr>
        <w:pStyle w:val="Normaltext2"/>
      </w:pPr>
      <w:r>
        <w:t>the full exclusive and undisturbed possession of their Lands and Estates Forests Fisheries and other properties which they may collectively or individually possess so long as it is their wish to retain the same in their possession.</w:t>
      </w:r>
    </w:p>
    <w:p w:rsidR="00397914" w:rsidRDefault="00397914" w:rsidP="00397914">
      <w:pPr>
        <w:pStyle w:val="Normaltext1"/>
      </w:pPr>
      <w:r>
        <w:t>Article 2 also gave to the Queen “the exclusive right of Preemption over such lands as the proprietors thereof may be disposed to alienate”, ensuring that, at the time of its purchase, native title over the land was extinguished.</w:t>
      </w:r>
    </w:p>
    <w:p w:rsidR="00397914" w:rsidRDefault="00397914" w:rsidP="00397914">
      <w:pPr>
        <w:pStyle w:val="Normaltext1"/>
      </w:pPr>
      <w:r>
        <w:t xml:space="preserve">In the Māori version, the Queen agreed to protect the Chiefs, subtribes, and all the people of New Zealand in their use of their lands: </w:t>
      </w:r>
    </w:p>
    <w:p w:rsidR="00397914" w:rsidRPr="000C5DAA" w:rsidRDefault="00397914" w:rsidP="00397914">
      <w:pPr>
        <w:pStyle w:val="Normaltext2"/>
      </w:pPr>
      <w:r>
        <w:rPr>
          <w:i/>
        </w:rPr>
        <w:t>tino rangatiratanga ō rātou wenua o ratou kāinga me ō rā</w:t>
      </w:r>
      <w:r w:rsidRPr="000B271C">
        <w:rPr>
          <w:i/>
        </w:rPr>
        <w:t>tou taonga katoa</w:t>
      </w:r>
      <w:r>
        <w:rPr>
          <w:i/>
        </w:rPr>
        <w:t xml:space="preserve"> </w:t>
      </w:r>
      <w:r>
        <w:t>(</w:t>
      </w:r>
      <w:r w:rsidRPr="000C5DAA">
        <w:t>in the unqualified exercise of their chieftainship over their lands, villages and all their treasures):</w:t>
      </w:r>
      <w:r w:rsidRPr="000C5DAA">
        <w:rPr>
          <w:rStyle w:val="FootnoteReference"/>
        </w:rPr>
        <w:footnoteReference w:id="70"/>
      </w:r>
      <w:r w:rsidRPr="000C5DAA">
        <w:t xml:space="preserve"> </w:t>
      </w:r>
    </w:p>
    <w:p w:rsidR="00397914" w:rsidRDefault="00397914" w:rsidP="00397914">
      <w:pPr>
        <w:pStyle w:val="Normaltext1"/>
      </w:pPr>
      <w:r>
        <w:t>The powers ceded by Article 1 and the undertakings of Article 2 are not synonymous in the two language versions. Government or management of lands is a less expansive concept than the cession of full sovereignty, though what the Chiefs understood by “sovereignty” is uncertain.</w:t>
      </w:r>
      <w:r>
        <w:rPr>
          <w:rStyle w:val="FootnoteReference"/>
        </w:rPr>
        <w:footnoteReference w:id="71"/>
      </w:r>
      <w:r>
        <w:t xml:space="preserve"> Private property and ownership referred to in Article 2 seem not to have been concepts within </w:t>
      </w:r>
      <w:r w:rsidRPr="00935BDC">
        <w:rPr>
          <w:i/>
        </w:rPr>
        <w:t>te ao M</w:t>
      </w:r>
      <w:r>
        <w:rPr>
          <w:i/>
        </w:rPr>
        <w:t>ā</w:t>
      </w:r>
      <w:r w:rsidRPr="00935BDC">
        <w:rPr>
          <w:i/>
        </w:rPr>
        <w:t>ori</w:t>
      </w:r>
      <w:r>
        <w:t xml:space="preserve"> (the Māori world). Their view of material possessions focused on </w:t>
      </w:r>
      <w:r w:rsidRPr="00DE1037">
        <w:rPr>
          <w:i/>
        </w:rPr>
        <w:t>kaitiakitanga</w:t>
      </w:r>
      <w:r>
        <w:t xml:space="preserve"> (guardianship or stewardship) and on preserving those possessions for future generations. That view appears to be reflected in the Māori version.</w:t>
      </w:r>
    </w:p>
    <w:p w:rsidR="00397914" w:rsidRDefault="00397914" w:rsidP="00397914">
      <w:pPr>
        <w:pStyle w:val="Normaltext1"/>
      </w:pPr>
      <w:r>
        <w:lastRenderedPageBreak/>
        <w:t>Article 3 of the Treaty provided Māori with the Queen’s protection and conferred on Māori “all the Rights and Privileges of British Subjects” (“</w:t>
      </w:r>
      <w:r w:rsidRPr="00744328">
        <w:rPr>
          <w:i/>
        </w:rPr>
        <w:t>Ngā tikanga katoa rite tahi ki ana mea ngā tangata o Ingarani</w:t>
      </w:r>
      <w:r>
        <w:t>”).</w:t>
      </w:r>
    </w:p>
    <w:p w:rsidR="00397914" w:rsidRPr="003254CB" w:rsidRDefault="00397914" w:rsidP="00397914">
      <w:pPr>
        <w:pStyle w:val="Heading4"/>
      </w:pPr>
      <w:r w:rsidRPr="000679E4">
        <w:t>Assimilation</w:t>
      </w:r>
      <w:r>
        <w:t xml:space="preserve"> and representation</w:t>
      </w:r>
    </w:p>
    <w:p w:rsidR="00397914" w:rsidRDefault="00397914" w:rsidP="00397914">
      <w:pPr>
        <w:pStyle w:val="Normaltext1"/>
      </w:pPr>
      <w:r>
        <w:t xml:space="preserve">It was not until the Letters Patent were issued under the </w:t>
      </w:r>
      <w:r w:rsidRPr="00744328">
        <w:rPr>
          <w:i/>
        </w:rPr>
        <w:t>New Zealand Government Act 1840</w:t>
      </w:r>
      <w:r>
        <w:t xml:space="preserve"> (Imp) on 16 November 1840 (“the Charter of 1840”) that New Zealand became a separate Crown Colony. British statutes and common law applied in New Zealand from that time, as far as was consistent with the circumstances applying in New Zealand. An Executive and a Legislative Council were authorised, the latter with authority to enact subordinate legislation “for the Peace, Order, and good government” of the colony.</w:t>
      </w:r>
      <w:r>
        <w:rPr>
          <w:rStyle w:val="FootnoteReference"/>
        </w:rPr>
        <w:footnoteReference w:id="72"/>
      </w:r>
      <w:r>
        <w:t xml:space="preserve"> Though neither was a representative body, the Charter itself placed a limitation on the Crown’s exercise of its prerogative, including the protection of property rights under applicable ancient laws. While the Charter conferred on the Governor the power to make grants of “waste land” to private persons or to “bodies politic or corporate in trust for public uses of our subjects”, it also stipulated that:</w:t>
      </w:r>
    </w:p>
    <w:p w:rsidR="00397914" w:rsidRDefault="00397914" w:rsidP="00397914">
      <w:pPr>
        <w:pStyle w:val="Normaltext2"/>
      </w:pPr>
      <w:r>
        <w:t xml:space="preserve">… </w:t>
      </w:r>
      <w:r w:rsidRPr="00B12BAB">
        <w:t>nothing in these our letters patent contained shall affect or be construed to affect the rights of any aboriginal natives of the said colony of New Zealand, to the actual occupation or enjoyment in their own persons, or in the persons of their descendants, of any lands in the said colony now actually occupied or enjoyed by such natives.</w:t>
      </w:r>
      <w:r>
        <w:rPr>
          <w:rStyle w:val="FootnoteReference"/>
        </w:rPr>
        <w:footnoteReference w:id="73"/>
      </w:r>
    </w:p>
    <w:p w:rsidR="00397914" w:rsidRPr="003C5A7A" w:rsidRDefault="00397914" w:rsidP="00397914">
      <w:pPr>
        <w:pStyle w:val="Normaltext1"/>
      </w:pPr>
      <w:r w:rsidRPr="003C5A7A">
        <w:t xml:space="preserve">The </w:t>
      </w:r>
      <w:r w:rsidRPr="00744328">
        <w:rPr>
          <w:i/>
        </w:rPr>
        <w:t>Constitution Act 1852</w:t>
      </w:r>
      <w:r w:rsidRPr="003C5A7A">
        <w:t xml:space="preserve"> (Imp) granted “a Representative Constitution to the Colony of New Zealand”, setting up a central bicameral Parliament for New Zealand</w:t>
      </w:r>
      <w:r w:rsidRPr="003C5A7A">
        <w:rPr>
          <w:rStyle w:val="FootnoteReference"/>
        </w:rPr>
        <w:footnoteReference w:id="74"/>
      </w:r>
      <w:r w:rsidRPr="003C5A7A">
        <w:t xml:space="preserve"> and, until 1876, provincial governments that had local law-making powers. In particular, the 1852 Act acknowledged that Māori had their own system of laws and customs that were to be allowed to continue, providing that</w:t>
      </w:r>
      <w:r>
        <w:t>:</w:t>
      </w:r>
    </w:p>
    <w:p w:rsidR="00397914" w:rsidRPr="00EA6179" w:rsidRDefault="00397914" w:rsidP="00397914">
      <w:pPr>
        <w:pStyle w:val="Normaltext2"/>
      </w:pPr>
      <w:r>
        <w:t xml:space="preserve">… </w:t>
      </w:r>
      <w:r w:rsidRPr="00EA6179">
        <w:t>the Laws, Customs, and Usages of the aboriginal or native Inhabitants of New Zealand, so far as they are not repugnant to the</w:t>
      </w:r>
      <w:r>
        <w:t xml:space="preserve"> general Principles of Humanity</w:t>
      </w:r>
      <w:r w:rsidRPr="00EA6179">
        <w:t xml:space="preserve">, should for the present be maintained for the Government of themselves, in all their Relations </w:t>
      </w:r>
      <w:r w:rsidRPr="00EA6179">
        <w:lastRenderedPageBreak/>
        <w:t>to and Dealings with each other, and that particular Districts should be set apart within which such Laws, Customs, or Usages should be so observed.</w:t>
      </w:r>
      <w:r>
        <w:rPr>
          <w:rStyle w:val="FootnoteReference"/>
        </w:rPr>
        <w:footnoteReference w:id="75"/>
      </w:r>
    </w:p>
    <w:p w:rsidR="00397914" w:rsidRDefault="00397914" w:rsidP="00397914">
      <w:pPr>
        <w:pStyle w:val="Normaltext1"/>
      </w:pPr>
      <w:r>
        <w:t>In 1852, a property-based franchise was introduced for men who met the property qualification). That qualification was restrictive for Māori in light of the collective nature of traditional Māori land tenure and only about 100 qualified</w:t>
      </w:r>
      <w:r>
        <w:rPr>
          <w:rStyle w:val="FootnoteReference"/>
        </w:rPr>
        <w:footnoteReference w:id="76"/>
      </w:r>
      <w:r>
        <w:t xml:space="preserve">. In 1867, the franchise was extended to all men (and, in 1893, to all women) irrespective of property or race. Shortly afterwards, the </w:t>
      </w:r>
      <w:r w:rsidRPr="00744328">
        <w:rPr>
          <w:i/>
        </w:rPr>
        <w:t>Māori Representation Act 1867</w:t>
      </w:r>
      <w:r>
        <w:t xml:space="preserve"> was enacted, which provided for four dedicated seats for Māori. Each member would be representative of Māori in a Māori electoral district, and each district was to have its own Māori electoral roll. </w:t>
      </w:r>
    </w:p>
    <w:p w:rsidR="00397914" w:rsidRDefault="00397914" w:rsidP="00397914">
      <w:pPr>
        <w:pStyle w:val="Normaltext1"/>
      </w:pPr>
      <w:r>
        <w:t>The presence of Māori Members of Parliament raised the need for a translation service in the House of Representatives. From 1867, the Standing Orders of the Legislative Council required procedural guidance to be provided in Māori as well as in English, and the requirement also extended to selected sessional papers of interest to Māori, the speeches given by the Māori members, and Bills of special relevance to Māori. Those requirements were not, it appears, matched in practice by either House of the General Assembly. In 1868, it was reported to the House that only 3 enactments had been translated since 1865,</w:t>
      </w:r>
      <w:r>
        <w:rPr>
          <w:rStyle w:val="FootnoteReference"/>
        </w:rPr>
        <w:footnoteReference w:id="77"/>
      </w:r>
      <w:r>
        <w:t xml:space="preserve"> though it also appears that no Bills were provided in Māori for the purposes of the debates until 1872</w:t>
      </w:r>
      <w:r>
        <w:rPr>
          <w:rFonts w:ascii="Courier New" w:hAnsi="Courier New" w:cs="Courier New"/>
        </w:rPr>
        <w:t>-</w:t>
      </w:r>
      <w:r>
        <w:t>73.</w:t>
      </w:r>
      <w:r>
        <w:rPr>
          <w:rStyle w:val="FootnoteReference"/>
        </w:rPr>
        <w:footnoteReference w:id="78"/>
      </w:r>
      <w:r>
        <w:t xml:space="preserve"> By the end of the 19</w:t>
      </w:r>
      <w:r w:rsidRPr="003220FB">
        <w:t>th</w:t>
      </w:r>
      <w:r>
        <w:t xml:space="preserve"> century, Standing Orders no longer included the requirement. And it was not until 1985 that the right to address the Speaker in either language was restored.</w:t>
      </w:r>
    </w:p>
    <w:p w:rsidR="00397914" w:rsidRDefault="00397914" w:rsidP="00397914">
      <w:pPr>
        <w:pStyle w:val="Normaltext1"/>
      </w:pPr>
      <w:r>
        <w:t>Despite the development towards a democracy for Māori and settlers, events in the 1850s also crystallised lines of demarcation. The growing determination of the Government to maintain and expand the colony led to it taking measures aimed at overcoming Māori unwillingness to sell land. Hostilities broke out in many regions between Māori and British-backed Government forces. Statutory measures were adopted to enable the Government to wage war in the event of rebellion and to confiscate the lands of defeated Māori.</w:t>
      </w:r>
      <w:r>
        <w:rPr>
          <w:rStyle w:val="FootnoteReference"/>
        </w:rPr>
        <w:footnoteReference w:id="79"/>
      </w:r>
      <w:r>
        <w:t xml:space="preserve"> </w:t>
      </w:r>
    </w:p>
    <w:p w:rsidR="00397914" w:rsidRDefault="00397914" w:rsidP="00397914">
      <w:pPr>
        <w:pStyle w:val="Normaltext1"/>
      </w:pPr>
      <w:r>
        <w:t xml:space="preserve">Another step in the struggle to acquire land for settlement was the establishment of the Māori Land Court. Its role was to investigate and determine ownership of land that was to be returned after the wholesale confiscation following the defeat of the tribes in the hostilities of the 1860s. The Court was empowered to extinguish native title in favour of a </w:t>
      </w:r>
      <w:r>
        <w:lastRenderedPageBreak/>
        <w:t>Crown grant or freehold title, and by that means to facilitate its sale. This usually involved eliminating the rights of multiple owners in favour of a limited ownership. Bit by bit, Māori traditional ways with land were brought into some sort of conformity with the English way of doing things through a series of Māori land laws, despite the earlier recognition of native title applying in New Zealand.</w:t>
      </w:r>
      <w:r>
        <w:rPr>
          <w:rStyle w:val="FootnoteReference"/>
        </w:rPr>
        <w:footnoteReference w:id="80"/>
      </w:r>
      <w:r>
        <w:t xml:space="preserve"> The trend was also seen in the codification of other areas of the law, such as the law of Māori succession, law regulating (and later abolishing) the practice of the </w:t>
      </w:r>
      <w:r w:rsidRPr="00CF038A">
        <w:rPr>
          <w:i/>
        </w:rPr>
        <w:t>tohunga</w:t>
      </w:r>
      <w:r>
        <w:t xml:space="preserve"> (Māori traditional healers), and laws providing for “Native” schools.</w:t>
      </w:r>
    </w:p>
    <w:p w:rsidR="00397914" w:rsidRPr="00740EDF" w:rsidRDefault="00397914" w:rsidP="00397914">
      <w:pPr>
        <w:pStyle w:val="Heading3"/>
      </w:pPr>
      <w:bookmarkStart w:id="396" w:name="_Toc503170562"/>
      <w:bookmarkStart w:id="397" w:name="_Toc503290281"/>
      <w:bookmarkStart w:id="398" w:name="_Toc504579945"/>
      <w:r w:rsidRPr="00740EDF">
        <w:t>Twentieth century developments</w:t>
      </w:r>
      <w:bookmarkEnd w:id="396"/>
      <w:bookmarkEnd w:id="397"/>
      <w:bookmarkEnd w:id="398"/>
    </w:p>
    <w:p w:rsidR="00397914" w:rsidRDefault="00397914" w:rsidP="00397914">
      <w:pPr>
        <w:pStyle w:val="Normaltext1"/>
      </w:pPr>
      <w:r>
        <w:t xml:space="preserve">Māori concerns about land loss continued, particularly in relation to the </w:t>
      </w:r>
      <w:r>
        <w:rPr>
          <w:i/>
        </w:rPr>
        <w:t>raupatu</w:t>
      </w:r>
      <w:r>
        <w:t xml:space="preserve"> (confiscations of land) after the hostilities of the 1860s. The Government took steps in the 1920s and 1930s to deal with the concerns by establishing two commissions of inquiry. They both pointed to the inequity of the </w:t>
      </w:r>
      <w:r w:rsidRPr="00744328">
        <w:rPr>
          <w:i/>
        </w:rPr>
        <w:t>raupatu</w:t>
      </w:r>
      <w:r>
        <w:t xml:space="preserve"> policy, but positive action was delayed by the economic circumstances of the country and then by 2 world wars. In the 1940s and 1950s, however, successive governments entered into monetary settlements with iwi by way of lump sums and annuity payments, though without conceding the return of land.</w:t>
      </w:r>
      <w:r>
        <w:rPr>
          <w:rStyle w:val="FootnoteReference"/>
        </w:rPr>
        <w:footnoteReference w:id="81"/>
      </w:r>
    </w:p>
    <w:p w:rsidR="00397914" w:rsidRDefault="00397914" w:rsidP="00397914">
      <w:pPr>
        <w:pStyle w:val="Normaltext1"/>
      </w:pPr>
      <w:r>
        <w:t xml:space="preserve">For the purposes of this paper, however, we need to fast forward </w:t>
      </w:r>
      <w:r w:rsidRPr="00815346">
        <w:t xml:space="preserve">to 1975, </w:t>
      </w:r>
      <w:r>
        <w:t>when a</w:t>
      </w:r>
      <w:r w:rsidRPr="00411C26">
        <w:rPr>
          <w:i/>
        </w:rPr>
        <w:t xml:space="preserve"> hikoi</w:t>
      </w:r>
      <w:r>
        <w:t xml:space="preserve"> (march) of over 5000 marchers took place from North Cape to Wellington to protest land sales. The </w:t>
      </w:r>
      <w:r w:rsidRPr="00397914">
        <w:rPr>
          <w:i/>
        </w:rPr>
        <w:t>hikoi</w:t>
      </w:r>
      <w:r>
        <w:t xml:space="preserve">, galvanised by Whina Cooper from the northernmost settlement of New Zealand, Te Hapua, went under the banner “Not one more acre of Māori land”, and presented a 60,000-strong petition to Parliament on the matter. That </w:t>
      </w:r>
      <w:r w:rsidRPr="00397914">
        <w:rPr>
          <w:i/>
        </w:rPr>
        <w:t>hikoi</w:t>
      </w:r>
      <w:r>
        <w:t xml:space="preserve"> had a significant impact in New Zealand, including political and legal consequences. </w:t>
      </w:r>
    </w:p>
    <w:p w:rsidR="00397914" w:rsidRPr="004130E7" w:rsidRDefault="00397914" w:rsidP="00397914">
      <w:pPr>
        <w:pStyle w:val="Heading4"/>
      </w:pPr>
      <w:r w:rsidRPr="004130E7">
        <w:t>Waitangi Tribunal</w:t>
      </w:r>
    </w:p>
    <w:p w:rsidR="00397914" w:rsidRPr="00E62FCD" w:rsidRDefault="00397914" w:rsidP="00397914">
      <w:pPr>
        <w:pStyle w:val="Normaltext1"/>
      </w:pPr>
      <w:r>
        <w:t xml:space="preserve">One response to the </w:t>
      </w:r>
      <w:r w:rsidRPr="00397914">
        <w:rPr>
          <w:i/>
        </w:rPr>
        <w:t>hikoi</w:t>
      </w:r>
      <w:r>
        <w:t xml:space="preserve"> was the establishment in that year of the Waitangi Tribunal, a quasi-judicial body with the powers of a commission of inquiry to hear and determine Māori claims of breaches of the Treaty of Waitangi by the Crown or its agents.</w:t>
      </w:r>
      <w:r>
        <w:rPr>
          <w:rStyle w:val="FootnoteReference"/>
        </w:rPr>
        <w:footnoteReference w:id="82"/>
      </w:r>
      <w:r>
        <w:t xml:space="preserve"> This jurisdiction and, more particularly, the extension in 1985 of the Tribunal’s jurisdiction back to 1840</w:t>
      </w:r>
      <w:r>
        <w:rPr>
          <w:rStyle w:val="FootnoteReference"/>
        </w:rPr>
        <w:footnoteReference w:id="83"/>
      </w:r>
      <w:r>
        <w:t xml:space="preserve"> provided an important platform for Māori grievances to be considered and adjudicated on by </w:t>
      </w:r>
      <w:r>
        <w:lastRenderedPageBreak/>
        <w:t>way of “recommendations on claims relating to the practical application of the Treaty”.</w:t>
      </w:r>
      <w:r>
        <w:rPr>
          <w:rStyle w:val="FootnoteReference"/>
        </w:rPr>
        <w:footnoteReference w:id="84"/>
      </w:r>
      <w:r>
        <w:t xml:space="preserve"> The Tribunal has been required to adopt what has been called “a presentist lens informed by the principles of the Treaty”, that is, a contextual understanding of those principles as formulated by the courts under legislation.</w:t>
      </w:r>
      <w:r>
        <w:rPr>
          <w:rStyle w:val="FootnoteReference"/>
        </w:rPr>
        <w:footnoteReference w:id="85"/>
      </w:r>
      <w:r>
        <w:t xml:space="preserve"> </w:t>
      </w:r>
    </w:p>
    <w:p w:rsidR="00397914" w:rsidRDefault="00397914" w:rsidP="00397914">
      <w:pPr>
        <w:pStyle w:val="Normaltext1"/>
      </w:pPr>
      <w:r>
        <w:t xml:space="preserve">Although the Tribunal has no enforcement powers, except in limited circumstances, several thousand claims have been lodged over the intervening 40 years, ranging widely over matters such as the loss of land, environmental degradation, the loss of </w:t>
      </w:r>
      <w:r w:rsidRPr="004C0E9F">
        <w:rPr>
          <w:i/>
        </w:rPr>
        <w:t>te reo Māori</w:t>
      </w:r>
      <w:r>
        <w:t xml:space="preserve"> (the Māori language) under government education policies, the social dislocation of Māori families through urbanisation and detribalisation, Māori electoral arrangements, intellectual property claims, unfair housing policies, prejudicial health policies and practices, and an overall loss of cultural knowledge. In short, in breaching  the Treaty, the Crown has stood accused of creating a cultural vacuum and inequality of opportunity for Māori.</w:t>
      </w:r>
    </w:p>
    <w:p w:rsidR="00397914" w:rsidRDefault="00397914" w:rsidP="00397914">
      <w:pPr>
        <w:pStyle w:val="Normaltext1"/>
      </w:pPr>
      <w:r>
        <w:t>The findings of the Tribunal have been a catalyst for significant changes in government policy and conduct, as Crown agencies have sought to act consistently with the principles of the Treaty. The compelling evidence of the Tribunal’s findings has also been the genesis of major settlements between the Crown and tribal entities. Those findings have established a context for the Crown and Māori to focus on the cultural and economic rebuilding of the Māori people and their tribes, and on reconciliation with the Crown.</w:t>
      </w:r>
    </w:p>
    <w:p w:rsidR="00397914" w:rsidRPr="004130E7" w:rsidRDefault="00397914" w:rsidP="00397914">
      <w:pPr>
        <w:pStyle w:val="Heading4"/>
      </w:pPr>
      <w:r w:rsidRPr="004130E7">
        <w:t>Incorporation of the Treaty in legislation</w:t>
      </w:r>
    </w:p>
    <w:p w:rsidR="00397914" w:rsidRDefault="00397914" w:rsidP="00397914">
      <w:pPr>
        <w:pStyle w:val="Normaltext1"/>
      </w:pPr>
      <w:r>
        <w:t xml:space="preserve">Legislation has been an important element in the shift in government understanding of, and response to, the Treaty, not least because it enabled the courts to intervene. </w:t>
      </w:r>
    </w:p>
    <w:p w:rsidR="00397914" w:rsidRDefault="00397914" w:rsidP="00397914">
      <w:pPr>
        <w:pStyle w:val="Normaltext1"/>
      </w:pPr>
      <w:r>
        <w:t xml:space="preserve">In the 1980s, a new economic direction was to result in the corporatisation of many government enterprises, including those owning and operating critical infrastructure assets. Under the </w:t>
      </w:r>
      <w:r w:rsidRPr="00744328">
        <w:rPr>
          <w:i/>
        </w:rPr>
        <w:t>State-Owned Enterprises Act 1986</w:t>
      </w:r>
      <w:r>
        <w:t>, the State would pass its assets to Crown-owned statutory bodies to manage and return dividends to the Crown. The proposed legislation referred to and acknowledged the overriding relevance of the Treaty in the implementation of that Act:</w:t>
      </w:r>
    </w:p>
    <w:p w:rsidR="00397914" w:rsidRDefault="00397914" w:rsidP="00397914">
      <w:pPr>
        <w:pStyle w:val="Normaltext2"/>
      </w:pPr>
      <w:r>
        <w:t>Nothing in this Act shall permit the Crown to act in a manner that is inconsistent with the principles of the Treaty of Waitangi.</w:t>
      </w:r>
      <w:r>
        <w:rPr>
          <w:rStyle w:val="FootnoteReference"/>
        </w:rPr>
        <w:footnoteReference w:id="86"/>
      </w:r>
      <w:r>
        <w:t xml:space="preserve"> </w:t>
      </w:r>
    </w:p>
    <w:p w:rsidR="00397914" w:rsidRDefault="00397914" w:rsidP="00397914">
      <w:pPr>
        <w:pStyle w:val="Normaltext1"/>
      </w:pPr>
      <w:r>
        <w:t>That level of incorporation of the Treaty into the Act was accepted as sufficient to confer jurisdiction on the courts to examine the Crown’s proposals under the Act in light of the courts’ interpretation of the principles of the Treaty.</w:t>
      </w:r>
      <w:r w:rsidRPr="00E10EE8">
        <w:t xml:space="preserve"> </w:t>
      </w:r>
      <w:r>
        <w:t xml:space="preserve">In the litigation that followed enactment of the </w:t>
      </w:r>
      <w:r w:rsidRPr="00744328">
        <w:rPr>
          <w:i/>
        </w:rPr>
        <w:t>State-Owned Enterprises Act 1986</w:t>
      </w:r>
      <w:r>
        <w:t xml:space="preserve">, the courts were required to consider the scope of </w:t>
      </w:r>
      <w:r>
        <w:lastRenderedPageBreak/>
        <w:t>the principles by which Crown action under the legislation was to be measured.  In each of the landmark cases heard in relation to that Act, the applicants successfully established that the Crown would be in breach of the principles of the Treaty were it to corporatise the assets, effectively privatising them, without considering whether there were valid Māori claims to those assets.</w:t>
      </w:r>
      <w:r>
        <w:rPr>
          <w:rStyle w:val="FootnoteReference"/>
        </w:rPr>
        <w:footnoteReference w:id="87"/>
      </w:r>
    </w:p>
    <w:p w:rsidR="00397914" w:rsidRDefault="00397914" w:rsidP="00397914">
      <w:pPr>
        <w:pStyle w:val="Normaltext1"/>
      </w:pPr>
      <w:r>
        <w:t xml:space="preserve">A similar provision was included in the </w:t>
      </w:r>
      <w:r w:rsidRPr="00744328">
        <w:rPr>
          <w:i/>
        </w:rPr>
        <w:t>Conservation Act 1987</w:t>
      </w:r>
      <w:r>
        <w:t>:</w:t>
      </w:r>
    </w:p>
    <w:p w:rsidR="00397914" w:rsidRPr="00E8489E" w:rsidRDefault="00397914" w:rsidP="00397914">
      <w:pPr>
        <w:pStyle w:val="Normaltext2"/>
      </w:pPr>
      <w:r>
        <w:t>This Act shall so be interpreted and administered as to give effect to the principles of the Treaty of Waitangi.</w:t>
      </w:r>
      <w:r>
        <w:rPr>
          <w:rStyle w:val="FootnoteReference"/>
        </w:rPr>
        <w:footnoteReference w:id="88"/>
      </w:r>
      <w:r>
        <w:t xml:space="preserve"> </w:t>
      </w:r>
    </w:p>
    <w:p w:rsidR="00397914" w:rsidRDefault="00397914" w:rsidP="00397914">
      <w:pPr>
        <w:pStyle w:val="Normaltext1"/>
      </w:pPr>
      <w:r>
        <w:t xml:space="preserve">The inclusion of those provisions marked a turning point in how the Government would conduct its business, though the formulation has given rise to considerable uncertainty as to what “principles” are relevant in a given situation. </w:t>
      </w:r>
    </w:p>
    <w:p w:rsidR="00397914" w:rsidRDefault="00397914" w:rsidP="00397914">
      <w:pPr>
        <w:pStyle w:val="Normaltext1"/>
      </w:pPr>
      <w:r>
        <w:t>A year or two later, a different and “weaker” form of the so-called “Treaty clause” was drafted, requiring the principles to be taken into account rather than “given effect to”. That has not altered the need for the courts to interpret the scope of the principles in context.</w:t>
      </w:r>
      <w:r>
        <w:rPr>
          <w:rStyle w:val="FootnoteReference"/>
        </w:rPr>
        <w:footnoteReference w:id="89"/>
      </w:r>
      <w:r>
        <w:t xml:space="preserve"> </w:t>
      </w:r>
    </w:p>
    <w:p w:rsidR="00397914" w:rsidRDefault="00397914" w:rsidP="00397914">
      <w:pPr>
        <w:pStyle w:val="Normaltext1"/>
      </w:pPr>
      <w:r>
        <w:t>In 2000, there was a deliberate change to the drafting of Treaty clauses. The legislation is now required to flesh out the way in which the principles of the Treaty or the Treaty obligations were to be met in the context of the particular statute.</w:t>
      </w:r>
      <w:r>
        <w:rPr>
          <w:rStyle w:val="FootnoteReference"/>
        </w:rPr>
        <w:footnoteReference w:id="90"/>
      </w:r>
      <w:r>
        <w:t xml:space="preserve"> That change was endorsed by the Law Commission in its submission to Parliament on the New Zealand Public Health and Disability Bill, the first Bill to reflect this change. The Law Commission noted that the undefined term “principles of the Treaty” was not one of legal art and expressed concern that there was no agreement as to what the principles were. The </w:t>
      </w:r>
      <w:r>
        <w:lastRenderedPageBreak/>
        <w:t>principles would have to be ascertained on a case by case basis by the courts, leaving the courts “to invent the meaning that Parliament had failed to articulate.”</w:t>
      </w:r>
      <w:bookmarkStart w:id="399" w:name="_Ref499147248"/>
      <w:r>
        <w:rPr>
          <w:rStyle w:val="FootnoteReference"/>
        </w:rPr>
        <w:footnoteReference w:id="91"/>
      </w:r>
      <w:bookmarkEnd w:id="399"/>
    </w:p>
    <w:p w:rsidR="00397914" w:rsidRPr="00740EDF" w:rsidRDefault="00397914" w:rsidP="00397914">
      <w:pPr>
        <w:pStyle w:val="Heading3"/>
      </w:pPr>
      <w:bookmarkStart w:id="400" w:name="_Toc503170563"/>
      <w:bookmarkStart w:id="401" w:name="_Toc503290282"/>
      <w:bookmarkStart w:id="402" w:name="_Toc504579946"/>
      <w:r>
        <w:t>Te reo Māori in legislation of general application</w:t>
      </w:r>
      <w:bookmarkEnd w:id="400"/>
      <w:bookmarkEnd w:id="401"/>
      <w:bookmarkEnd w:id="402"/>
      <w:r>
        <w:t xml:space="preserve"> </w:t>
      </w:r>
      <w:r w:rsidRPr="00740EDF">
        <w:t xml:space="preserve"> </w:t>
      </w:r>
    </w:p>
    <w:p w:rsidR="00397914" w:rsidRDefault="00397914" w:rsidP="00397914">
      <w:pPr>
        <w:pStyle w:val="Normaltext1"/>
      </w:pPr>
      <w:r>
        <w:t xml:space="preserve">Despite the proactive work of the Waitangi Tribunal and the courts, concern continued to be expressed that </w:t>
      </w:r>
      <w:r w:rsidRPr="00744328">
        <w:rPr>
          <w:i/>
        </w:rPr>
        <w:t>tikanga Māori</w:t>
      </w:r>
      <w:r>
        <w:t xml:space="preserve"> was near invisible in New Zealand law in the 20</w:t>
      </w:r>
      <w:r w:rsidRPr="00BE2A78">
        <w:t>th</w:t>
      </w:r>
      <w:r>
        <w:t xml:space="preserve"> century. One response to the criticism has been to incorporate Māori words and phrases into legislation. This provides an inclusive way to recognise that there is a relevant (and potentially distinctive) Māori perspective in the law of New Zealand.</w:t>
      </w:r>
      <w:r>
        <w:rPr>
          <w:rStyle w:val="FootnoteReference"/>
        </w:rPr>
        <w:footnoteReference w:id="92"/>
      </w:r>
      <w:r>
        <w:t xml:space="preserve"> The impact of this approach has been significant, particularly where the courts have had to interpret and apply those terms.</w:t>
      </w:r>
    </w:p>
    <w:p w:rsidR="00397914" w:rsidRDefault="00397914" w:rsidP="00397914">
      <w:pPr>
        <w:pStyle w:val="Normaltext1"/>
      </w:pPr>
      <w:r>
        <w:t xml:space="preserve">One issue for drafters is whether Māori terms included in legislation ought to be defined, to clarify the scope and intent of the Māori term used. The use of definitions has not been uniformly welcomed by Māori who are concerned about attempts to lock in the meaning of Māori words, or give them a narrow or misleading meaning. However, the vocabulary of </w:t>
      </w:r>
      <w:r w:rsidRPr="00744328">
        <w:rPr>
          <w:i/>
        </w:rPr>
        <w:t>te reo Māori</w:t>
      </w:r>
      <w:r>
        <w:t xml:space="preserve"> is more restricted than that of English, and words often have to bridge many contexts, including those that are not part of Māori custom or are now being used outside their traditional context. In such circumstances, it is both prudent and helpful, in the interests of certainty, to include a definition. Where the purpose of this is to make the language accessible by way of a translation, the risk is that the meaning given may be “lost in translation”, the subtleties of meaning may be obscured, or the connotations of a word in the two languages may differ. For example, </w:t>
      </w:r>
      <w:r w:rsidRPr="003220FB">
        <w:rPr>
          <w:i/>
        </w:rPr>
        <w:t>kaitiakitanga</w:t>
      </w:r>
      <w:r>
        <w:rPr>
          <w:i/>
        </w:rPr>
        <w:t xml:space="preserve"> </w:t>
      </w:r>
      <w:r>
        <w:t xml:space="preserve">(guardianship) was initially used in the </w:t>
      </w:r>
      <w:r w:rsidRPr="00744328">
        <w:rPr>
          <w:i/>
        </w:rPr>
        <w:t>Resource Management Act 1991</w:t>
      </w:r>
      <w:r>
        <w:t xml:space="preserve"> as if it were equally applicable to all New Zealanders. Māori opposed this implication of the drafting. Only they can be </w:t>
      </w:r>
      <w:r w:rsidRPr="00BA50FA">
        <w:rPr>
          <w:i/>
        </w:rPr>
        <w:t>kaitiak</w:t>
      </w:r>
      <w:r w:rsidRPr="003220FB">
        <w:rPr>
          <w:i/>
        </w:rPr>
        <w:t>i</w:t>
      </w:r>
      <w:r>
        <w:t xml:space="preserve"> (guardians) and </w:t>
      </w:r>
      <w:r w:rsidRPr="00161094">
        <w:t>exercise</w:t>
      </w:r>
      <w:r>
        <w:t xml:space="preserve"> </w:t>
      </w:r>
      <w:r w:rsidRPr="00744328">
        <w:rPr>
          <w:i/>
        </w:rPr>
        <w:t>kaitiakitanga</w:t>
      </w:r>
      <w:r w:rsidRPr="004302A2">
        <w:t>.</w:t>
      </w:r>
      <w:r>
        <w:rPr>
          <w:i/>
        </w:rPr>
        <w:t xml:space="preserve"> </w:t>
      </w:r>
      <w:r>
        <w:t>T</w:t>
      </w:r>
      <w:r w:rsidRPr="003B7C01">
        <w:t>he statut</w:t>
      </w:r>
      <w:r>
        <w:t>ory definition</w:t>
      </w:r>
      <w:r w:rsidRPr="003B7C01">
        <w:t xml:space="preserve"> has accordingly </w:t>
      </w:r>
      <w:r>
        <w:t>been amended to record the distinction.</w:t>
      </w:r>
      <w:r>
        <w:rPr>
          <w:rStyle w:val="FootnoteReference"/>
        </w:rPr>
        <w:footnoteReference w:id="93"/>
      </w:r>
      <w:r>
        <w:t xml:space="preserve"> The question with which we grapple is whether we should be defining Māori words to restrict meaning or just to translate.</w:t>
      </w:r>
    </w:p>
    <w:p w:rsidR="00397914" w:rsidRPr="00304FB1" w:rsidRDefault="00397914" w:rsidP="00397914">
      <w:pPr>
        <w:pStyle w:val="Heading4"/>
      </w:pPr>
      <w:r>
        <w:lastRenderedPageBreak/>
        <w:t>Tikanga: a Māori legal system</w:t>
      </w:r>
    </w:p>
    <w:p w:rsidR="00397914" w:rsidRDefault="00397914" w:rsidP="00397914">
      <w:pPr>
        <w:pStyle w:val="Normaltext1"/>
      </w:pPr>
      <w:r>
        <w:t xml:space="preserve">A Māori term found frequently on the statute book is </w:t>
      </w:r>
      <w:r>
        <w:rPr>
          <w:i/>
        </w:rPr>
        <w:t>tikanga</w:t>
      </w:r>
      <w:r>
        <w:t xml:space="preserve"> or </w:t>
      </w:r>
      <w:r>
        <w:rPr>
          <w:i/>
        </w:rPr>
        <w:t>tikanga Māori.</w:t>
      </w:r>
      <w:r w:rsidRPr="008C484D">
        <w:t xml:space="preserve"> </w:t>
      </w:r>
      <w:r>
        <w:t>It is usually defined in legislation to mean Māori customary values and practices or Māori protocols and culture. The definitions do not do justice to the true scope of the concept. In essence, the word denotes the whole system of Māori customary law - “all accepted Māori principles”.</w:t>
      </w:r>
      <w:r>
        <w:rPr>
          <w:rStyle w:val="FootnoteReference"/>
        </w:rPr>
        <w:footnoteReference w:id="94"/>
      </w:r>
      <w:r>
        <w:t xml:space="preserve"> It expresses the right way to do things. If an element of tikanga is breached, imbalance is the result. A breach is an affront to courtesy and even to morality.</w:t>
      </w:r>
      <w:r w:rsidRPr="00237545">
        <w:rPr>
          <w:rStyle w:val="FootnoteReference"/>
        </w:rPr>
        <w:t xml:space="preserve"> </w:t>
      </w:r>
      <w:r>
        <w:rPr>
          <w:rStyle w:val="FootnoteReference"/>
        </w:rPr>
        <w:footnoteReference w:id="95"/>
      </w:r>
    </w:p>
    <w:p w:rsidR="00397914" w:rsidRDefault="00397914" w:rsidP="00397914">
      <w:pPr>
        <w:pStyle w:val="Normaltext1"/>
      </w:pPr>
      <w:r>
        <w:t xml:space="preserve">The concept has certain core elements, such as </w:t>
      </w:r>
      <w:r>
        <w:rPr>
          <w:i/>
        </w:rPr>
        <w:t xml:space="preserve">whanaungatanga </w:t>
      </w:r>
      <w:r>
        <w:t xml:space="preserve">(kinship), </w:t>
      </w:r>
      <w:r>
        <w:rPr>
          <w:i/>
        </w:rPr>
        <w:t xml:space="preserve">mana </w:t>
      </w:r>
      <w:r w:rsidRPr="00465D03">
        <w:t>(authority,</w:t>
      </w:r>
      <w:r>
        <w:rPr>
          <w:i/>
        </w:rPr>
        <w:t xml:space="preserve"> </w:t>
      </w:r>
      <w:r w:rsidRPr="001E2F16">
        <w:t>the source of rights and obligations of leadership</w:t>
      </w:r>
      <w:r>
        <w:t xml:space="preserve">), </w:t>
      </w:r>
      <w:r>
        <w:rPr>
          <w:i/>
        </w:rPr>
        <w:t xml:space="preserve">utu </w:t>
      </w:r>
      <w:r>
        <w:t xml:space="preserve">(reciprocity), and </w:t>
      </w:r>
      <w:r>
        <w:rPr>
          <w:i/>
        </w:rPr>
        <w:t>kaitiakitanga</w:t>
      </w:r>
      <w:r>
        <w:t xml:space="preserve"> (guardianship),</w:t>
      </w:r>
      <w:bookmarkStart w:id="403" w:name="_Ref499147662"/>
      <w:r>
        <w:rPr>
          <w:rStyle w:val="FootnoteReference"/>
        </w:rPr>
        <w:footnoteReference w:id="96"/>
      </w:r>
      <w:bookmarkEnd w:id="403"/>
      <w:r>
        <w:rPr>
          <w:i/>
        </w:rPr>
        <w:t xml:space="preserve"> </w:t>
      </w:r>
      <w:r>
        <w:t>but for Māori scholars and elders the term has a vast penumbra of meanings.</w:t>
      </w:r>
      <w:r>
        <w:rPr>
          <w:rStyle w:val="FootnoteReference"/>
        </w:rPr>
        <w:footnoteReference w:id="97"/>
      </w:r>
      <w:r>
        <w:t xml:space="preserve"> Given the scope of this term and its application, there is room for doubt as to whether instructors instructing on its use and drafters using it actually realise the breadth of the possibilities for interpretation, or the complexity that the decision maker faces working within this paradigm. The definition does little to narrow its application.</w:t>
      </w:r>
      <w:r>
        <w:rPr>
          <w:rStyle w:val="FootnoteReference"/>
        </w:rPr>
        <w:footnoteReference w:id="98"/>
      </w:r>
      <w:r>
        <w:t xml:space="preserve"> </w:t>
      </w:r>
    </w:p>
    <w:p w:rsidR="00397914" w:rsidRDefault="00397914" w:rsidP="00397914">
      <w:pPr>
        <w:pStyle w:val="Normaltext1"/>
      </w:pPr>
      <w:r>
        <w:t xml:space="preserve">The courts have, in a variety of contexts, affirmed the requirement of the common law that consideration of </w:t>
      </w:r>
      <w:r w:rsidRPr="00744328">
        <w:rPr>
          <w:i/>
        </w:rPr>
        <w:t>tikanga</w:t>
      </w:r>
      <w:r>
        <w:t>, ascertained by expert evidence, is a source of law within New Zealand’s legal system and is required where Māori values are brought into play.</w:t>
      </w:r>
      <w:r>
        <w:rPr>
          <w:rStyle w:val="FootnoteReference"/>
        </w:rPr>
        <w:footnoteReference w:id="99"/>
      </w:r>
    </w:p>
    <w:p w:rsidR="00397914" w:rsidRDefault="00397914" w:rsidP="00397914">
      <w:pPr>
        <w:pStyle w:val="Normaltext1"/>
      </w:pPr>
      <w:r>
        <w:lastRenderedPageBreak/>
        <w:t xml:space="preserve">Those steeped in the law of </w:t>
      </w:r>
      <w:r w:rsidRPr="00744328">
        <w:rPr>
          <w:i/>
        </w:rPr>
        <w:t>tikanga</w:t>
      </w:r>
      <w:r>
        <w:t xml:space="preserve"> recognise the fluidity of the concept. This makes it a difficult term in the context of laws of general application or in law that requires decisions from judges, or from local authorities and other functionaries who must determine what constitutes </w:t>
      </w:r>
      <w:r w:rsidRPr="00F57C28">
        <w:t>tikanga</w:t>
      </w:r>
      <w:r>
        <w:t xml:space="preserve"> in any given situation. Interpretation of the term requires expert, usually oral, evidence of custom and practice.</w:t>
      </w:r>
      <w:r>
        <w:rPr>
          <w:rStyle w:val="FootnoteReference"/>
        </w:rPr>
        <w:footnoteReference w:id="100"/>
      </w:r>
      <w:r>
        <w:t xml:space="preserve"> The challenge for legislators in New Zealand is to provide for tikanga, when appropriate, as a further set of values and norms within the common law paradigm, in a way that is coherent in the statutory context, while being meaningful within the Māori context.</w:t>
      </w:r>
    </w:p>
    <w:p w:rsidR="00397914" w:rsidRPr="00EC7236" w:rsidRDefault="00397914" w:rsidP="00397914">
      <w:pPr>
        <w:pStyle w:val="Heading4"/>
      </w:pPr>
      <w:r>
        <w:t>Māori terms relevant to the environment</w:t>
      </w:r>
    </w:p>
    <w:p w:rsidR="00397914" w:rsidRDefault="00397914" w:rsidP="00397914">
      <w:pPr>
        <w:pStyle w:val="Normaltext1"/>
      </w:pPr>
      <w:r w:rsidRPr="00744328">
        <w:rPr>
          <w:i/>
        </w:rPr>
        <w:t>Te reo Māori</w:t>
      </w:r>
      <w:r>
        <w:t xml:space="preserve"> was first used chiefly in environmental statutes of general application. The Conservation Act 1987, for example, created a mechanism called </w:t>
      </w:r>
      <w:r w:rsidRPr="00744328">
        <w:rPr>
          <w:i/>
        </w:rPr>
        <w:t>Ngā Whenua Rahui kawenata</w:t>
      </w:r>
      <w:r>
        <w:t xml:space="preserve"> (land managed by closing it off).</w:t>
      </w:r>
      <w:r>
        <w:rPr>
          <w:rStyle w:val="FootnoteReference"/>
        </w:rPr>
        <w:footnoteReference w:id="101"/>
      </w:r>
      <w:r>
        <w:t xml:space="preserve"> The use of this name would be recognised under tikanga as a guide to how and when the mechanism of traditional closure of an area that had become </w:t>
      </w:r>
      <w:r w:rsidRPr="003220FB">
        <w:rPr>
          <w:i/>
        </w:rPr>
        <w:t>tapu</w:t>
      </w:r>
      <w:r>
        <w:t xml:space="preserve"> (sacred) </w:t>
      </w:r>
      <w:r w:rsidRPr="00304FB1">
        <w:t>would</w:t>
      </w:r>
      <w:r>
        <w:t xml:space="preserve"> apply for the protection of traditional values. </w:t>
      </w:r>
    </w:p>
    <w:p w:rsidR="00397914" w:rsidRDefault="00397914" w:rsidP="00397914">
      <w:pPr>
        <w:pStyle w:val="Normaltext1"/>
      </w:pPr>
      <w:r>
        <w:t xml:space="preserve">The inclusion of </w:t>
      </w:r>
      <w:r w:rsidRPr="00744328">
        <w:rPr>
          <w:i/>
        </w:rPr>
        <w:t>kaitiakitanga</w:t>
      </w:r>
      <w:r>
        <w:rPr>
          <w:i/>
        </w:rPr>
        <w:t xml:space="preserve"> </w:t>
      </w:r>
      <w:r>
        <w:t xml:space="preserve">in </w:t>
      </w:r>
      <w:r w:rsidRPr="00A81F0B">
        <w:t>s</w:t>
      </w:r>
      <w:r>
        <w:t>ection</w:t>
      </w:r>
      <w:r w:rsidRPr="00A81F0B">
        <w:t xml:space="preserve"> 7</w:t>
      </w:r>
      <w:r>
        <w:t xml:space="preserve">(a) of the </w:t>
      </w:r>
      <w:r w:rsidRPr="00744328">
        <w:rPr>
          <w:i/>
        </w:rPr>
        <w:t>Resource Management Act 1991</w:t>
      </w:r>
      <w:r>
        <w:t xml:space="preserve">, defined to mean guardianship, acknowledges the importance in tikanga Māori of caring for natural resources, including the </w:t>
      </w:r>
      <w:r>
        <w:rPr>
          <w:i/>
        </w:rPr>
        <w:t>mauri</w:t>
      </w:r>
      <w:r>
        <w:t xml:space="preserve"> (spirit, life force) of the resource. That provision requires decision makers to have particular regard to the interests and cultural obligations of a Māori community to care for a particular natural resource or place because of its cultural importance, for example, for </w:t>
      </w:r>
      <w:r w:rsidRPr="00FA26AC">
        <w:rPr>
          <w:i/>
        </w:rPr>
        <w:t>mahinga kai</w:t>
      </w:r>
      <w:r>
        <w:t xml:space="preserve"> (food gathering) </w:t>
      </w:r>
      <w:r w:rsidRPr="002B7BAF">
        <w:t>or customary arts such as weaving and carving</w:t>
      </w:r>
      <w:r>
        <w:t xml:space="preserve">. In a case concerning one of New Zealand’s largest ports, the customary obligations and rights of the </w:t>
      </w:r>
      <w:r w:rsidRPr="00744328">
        <w:rPr>
          <w:i/>
        </w:rPr>
        <w:t>tangata whenua</w:t>
      </w:r>
      <w:r>
        <w:t xml:space="preserve"> to care for and gather food in accordance with their tradition from certain shellfish beds in the harbour had to be considered when developing proposals to dredge the harbour. The court would not permit development to proceed to the detriment of the </w:t>
      </w:r>
      <w:r w:rsidRPr="00744328">
        <w:rPr>
          <w:i/>
        </w:rPr>
        <w:t>tangata whenua</w:t>
      </w:r>
      <w:r>
        <w:t xml:space="preserve"> interests in the food resources and without due regard to the value and obligations of </w:t>
      </w:r>
      <w:r w:rsidRPr="00744328">
        <w:rPr>
          <w:i/>
        </w:rPr>
        <w:t>kaitiakitanga</w:t>
      </w:r>
      <w:r>
        <w:t xml:space="preserve">. The solution provided for both interests. The port extensions were made, while the </w:t>
      </w:r>
      <w:r w:rsidRPr="00744328">
        <w:rPr>
          <w:i/>
        </w:rPr>
        <w:t>iwi</w:t>
      </w:r>
      <w:r>
        <w:t xml:space="preserve"> obligations as </w:t>
      </w:r>
      <w:r w:rsidRPr="00744328">
        <w:rPr>
          <w:i/>
        </w:rPr>
        <w:t>kaitiaki</w:t>
      </w:r>
      <w:r>
        <w:t xml:space="preserve"> of the resource were respected, enabling them to exercise </w:t>
      </w:r>
      <w:r w:rsidRPr="00744328">
        <w:rPr>
          <w:i/>
        </w:rPr>
        <w:t>kaitiakitanga</w:t>
      </w:r>
      <w:r>
        <w:t xml:space="preserve"> to achieve protection of the </w:t>
      </w:r>
      <w:r w:rsidRPr="00397914">
        <w:rPr>
          <w:i/>
        </w:rPr>
        <w:t>mauri</w:t>
      </w:r>
      <w:r>
        <w:t xml:space="preserve"> of those shellfish beds as well as their physical presence.</w:t>
      </w:r>
      <w:r w:rsidRPr="00261CBF">
        <w:rPr>
          <w:rStyle w:val="FootnoteReference"/>
        </w:rPr>
        <w:t xml:space="preserve"> </w:t>
      </w:r>
      <w:r>
        <w:rPr>
          <w:rStyle w:val="FootnoteReference"/>
        </w:rPr>
        <w:footnoteReference w:id="102"/>
      </w:r>
    </w:p>
    <w:p w:rsidR="00397914" w:rsidRDefault="00397914" w:rsidP="00397914">
      <w:pPr>
        <w:pStyle w:val="Normaltext1"/>
      </w:pPr>
      <w:r>
        <w:t xml:space="preserve">The </w:t>
      </w:r>
      <w:r w:rsidRPr="00744328">
        <w:rPr>
          <w:i/>
        </w:rPr>
        <w:t>Resource Management Act 1991</w:t>
      </w:r>
      <w:r>
        <w:t xml:space="preserve"> also makes it a matter of national importance that “the relationship of Māori and their culture and traditions with their ancestral lands, water, sites, </w:t>
      </w:r>
      <w:r w:rsidRPr="00744328">
        <w:rPr>
          <w:i/>
        </w:rPr>
        <w:t>waahi tapu</w:t>
      </w:r>
      <w:r>
        <w:t xml:space="preserve">, and other </w:t>
      </w:r>
      <w:r w:rsidRPr="00744328">
        <w:rPr>
          <w:i/>
        </w:rPr>
        <w:t>taonga</w:t>
      </w:r>
      <w:r>
        <w:t>” (section 6) is recognised and provided for in all decision-</w:t>
      </w:r>
      <w:r>
        <w:lastRenderedPageBreak/>
        <w:t xml:space="preserve">making under that Act. </w:t>
      </w:r>
      <w:r w:rsidRPr="00A81F0B">
        <w:rPr>
          <w:i/>
        </w:rPr>
        <w:t>Waahi tapu</w:t>
      </w:r>
      <w:r w:rsidRPr="00A1502C">
        <w:rPr>
          <w:rStyle w:val="FootnoteReference"/>
        </w:rPr>
        <w:footnoteReference w:id="103"/>
      </w:r>
      <w:r>
        <w:t xml:space="preserve"> (though not defined in that Act) usually refers to a site sacred to the relevant Māori community, perhaps as the burial place of an ancestor or as the place of a battle. </w:t>
      </w:r>
    </w:p>
    <w:p w:rsidR="00397914" w:rsidRDefault="00397914" w:rsidP="00397914">
      <w:pPr>
        <w:pStyle w:val="Normaltext1"/>
      </w:pPr>
      <w:r>
        <w:t xml:space="preserve">The </w:t>
      </w:r>
      <w:r w:rsidRPr="00744328">
        <w:rPr>
          <w:i/>
        </w:rPr>
        <w:t>Heritage New Zealand Pouhere Taonga Act 2014</w:t>
      </w:r>
      <w:r>
        <w:t xml:space="preserve"> protects historic heritage of the natural and built environment. It takes a bolder approach to </w:t>
      </w:r>
      <w:r w:rsidRPr="00744328">
        <w:rPr>
          <w:i/>
        </w:rPr>
        <w:t>wāhi tapu</w:t>
      </w:r>
      <w:r>
        <w:rPr>
          <w:i/>
        </w:rPr>
        <w:t xml:space="preserve"> </w:t>
      </w:r>
      <w:r>
        <w:t xml:space="preserve">in that it spells out the supernatural dimension in defining </w:t>
      </w:r>
      <w:r w:rsidRPr="00A1502C">
        <w:t>it</w:t>
      </w:r>
      <w:r>
        <w:rPr>
          <w:i/>
        </w:rPr>
        <w:t xml:space="preserve"> </w:t>
      </w:r>
      <w:r>
        <w:t xml:space="preserve">to mean “a place sacred to Maori in the traditional, spiritual, religious, ritual, or mythological sense” </w:t>
      </w:r>
      <w:r w:rsidRPr="003442CB">
        <w:t>and</w:t>
      </w:r>
      <w:r>
        <w:t xml:space="preserve"> also by including the term</w:t>
      </w:r>
      <w:r>
        <w:rPr>
          <w:i/>
        </w:rPr>
        <w:t xml:space="preserve"> wāhi tūpuna</w:t>
      </w:r>
      <w:r>
        <w:t xml:space="preserve">, meaning “a place important to Māori for its ancestral significance and associated cultural and traditional values”. Those definitions enable a very broad approach to protecting places of heritage importance to Māori. </w:t>
      </w:r>
    </w:p>
    <w:p w:rsidR="00397914" w:rsidRDefault="00397914" w:rsidP="00397914">
      <w:pPr>
        <w:pStyle w:val="Heading4"/>
      </w:pPr>
      <w:r w:rsidRPr="000679E4">
        <w:t>Terms</w:t>
      </w:r>
      <w:r>
        <w:t xml:space="preserve"> depicting relationships and status</w:t>
      </w:r>
    </w:p>
    <w:p w:rsidR="00397914" w:rsidRDefault="00397914" w:rsidP="00397914">
      <w:pPr>
        <w:pStyle w:val="Normaltext1"/>
      </w:pPr>
      <w:r>
        <w:t xml:space="preserve">A class of terms often incorporated into legislation describes the status of people and the relationships between people and places. These terms are critical to the operation of </w:t>
      </w:r>
      <w:r w:rsidRPr="00397914">
        <w:rPr>
          <w:i/>
        </w:rPr>
        <w:t>tikanga</w:t>
      </w:r>
      <w:r>
        <w:t>, but their use in legislation has given rise to difficulties in interpretation and implementation.</w:t>
      </w:r>
    </w:p>
    <w:p w:rsidR="00397914" w:rsidRDefault="00397914" w:rsidP="00397914">
      <w:pPr>
        <w:pStyle w:val="Normaltext1"/>
      </w:pPr>
      <w:r>
        <w:t xml:space="preserve">One of the most difficult terms is </w:t>
      </w:r>
      <w:r w:rsidRPr="00103E67">
        <w:rPr>
          <w:i/>
        </w:rPr>
        <w:t>m</w:t>
      </w:r>
      <w:r>
        <w:rPr>
          <w:i/>
        </w:rPr>
        <w:t>ana</w:t>
      </w:r>
      <w:r>
        <w:t xml:space="preserve">, recorded in the Oxford English Dictionary at least from the 1980s as meaning authority, power, prestige, or in the secondary sense of supernatural power. Given that recognition, drafters do not include a definition of the term in legislation, unless the sense is intended to diverge from that of the dictionary. </w:t>
      </w:r>
    </w:p>
    <w:p w:rsidR="00397914" w:rsidRDefault="00397914" w:rsidP="00397914">
      <w:pPr>
        <w:pStyle w:val="Normaltext1"/>
      </w:pPr>
      <w:r>
        <w:t xml:space="preserve">In the scheme of </w:t>
      </w:r>
      <w:r w:rsidRPr="00744328">
        <w:rPr>
          <w:i/>
        </w:rPr>
        <w:t>tikanga</w:t>
      </w:r>
      <w:r w:rsidRPr="0012143D">
        <w:t xml:space="preserve">, </w:t>
      </w:r>
      <w:r w:rsidRPr="00103E67">
        <w:rPr>
          <w:i/>
        </w:rPr>
        <w:t>mana</w:t>
      </w:r>
      <w:r w:rsidRPr="003220FB">
        <w:rPr>
          <w:i/>
        </w:rPr>
        <w:t xml:space="preserve"> </w:t>
      </w:r>
      <w:r>
        <w:t>determines the place of a person in the social group. It is the source of the rights and obligations of leadership, and the manifestation of authority or prestige.</w:t>
      </w:r>
      <w:r>
        <w:rPr>
          <w:rStyle w:val="FootnoteReference"/>
        </w:rPr>
        <w:footnoteReference w:id="104"/>
      </w:r>
      <w:r>
        <w:t xml:space="preserve"> Two enactments require the governing bodies they establish to be aware of “mana Mā</w:t>
      </w:r>
      <w:r w:rsidRPr="00BE6026">
        <w:t>ori</w:t>
      </w:r>
      <w:r>
        <w:t xml:space="preserve"> and the elements in the care of Māori cultural property which only Maori can provide.”</w:t>
      </w:r>
      <w:r>
        <w:rPr>
          <w:rStyle w:val="FootnoteReference"/>
        </w:rPr>
        <w:footnoteReference w:id="105"/>
      </w:r>
    </w:p>
    <w:p w:rsidR="00397914" w:rsidRDefault="00397914" w:rsidP="00397914">
      <w:pPr>
        <w:pStyle w:val="Normaltext1"/>
      </w:pPr>
      <w:r>
        <w:rPr>
          <w:i/>
        </w:rPr>
        <w:t>Mana</w:t>
      </w:r>
      <w:r>
        <w:t xml:space="preserve"> is used in the term</w:t>
      </w:r>
      <w:r>
        <w:rPr>
          <w:i/>
        </w:rPr>
        <w:t xml:space="preserve"> mana whenua, </w:t>
      </w:r>
      <w:r>
        <w:t xml:space="preserve">defined in the </w:t>
      </w:r>
      <w:r w:rsidRPr="00744328">
        <w:rPr>
          <w:i/>
        </w:rPr>
        <w:t>Resource Management Act 1991</w:t>
      </w:r>
      <w:r>
        <w:t xml:space="preserve"> to mean customary authority exercised by an </w:t>
      </w:r>
      <w:r w:rsidRPr="00744328">
        <w:rPr>
          <w:i/>
        </w:rPr>
        <w:t>iwi</w:t>
      </w:r>
      <w:r>
        <w:t xml:space="preserve"> or </w:t>
      </w:r>
      <w:r w:rsidRPr="00744328">
        <w:rPr>
          <w:i/>
        </w:rPr>
        <w:t>hapū</w:t>
      </w:r>
      <w:r>
        <w:t xml:space="preserve"> in an identified area. The term </w:t>
      </w:r>
      <w:r>
        <w:rPr>
          <w:i/>
        </w:rPr>
        <w:t>tangata whenua</w:t>
      </w:r>
      <w:r w:rsidRPr="005A1EF0">
        <w:t>, in turn, is define</w:t>
      </w:r>
      <w:r>
        <w:t xml:space="preserve">d as the </w:t>
      </w:r>
      <w:r w:rsidRPr="00744328">
        <w:rPr>
          <w:i/>
        </w:rPr>
        <w:t xml:space="preserve">iwi </w:t>
      </w:r>
      <w:r>
        <w:t xml:space="preserve">or </w:t>
      </w:r>
      <w:r w:rsidRPr="00744328">
        <w:rPr>
          <w:i/>
        </w:rPr>
        <w:t>hapū</w:t>
      </w:r>
      <w:r>
        <w:t xml:space="preserve"> that, in relation to a particular area, holds </w:t>
      </w:r>
      <w:r w:rsidRPr="00744328">
        <w:rPr>
          <w:i/>
        </w:rPr>
        <w:t>mana whenua</w:t>
      </w:r>
      <w:r>
        <w:t xml:space="preserve">. The Waitangi Tribunal has criticised the use of these terms in statutes that require the Crown or statutory agencies to build a relationship with Māori, for example, by consultation. Wherever there are </w:t>
      </w:r>
      <w:r w:rsidRPr="00744328">
        <w:rPr>
          <w:i/>
        </w:rPr>
        <w:t>iwi</w:t>
      </w:r>
      <w:r>
        <w:t xml:space="preserve"> or </w:t>
      </w:r>
      <w:r w:rsidRPr="00744328">
        <w:rPr>
          <w:i/>
        </w:rPr>
        <w:t>hapū</w:t>
      </w:r>
      <w:r>
        <w:t xml:space="preserve"> with interests in the same territory or resources, the claim to hold </w:t>
      </w:r>
      <w:r w:rsidRPr="00744328">
        <w:rPr>
          <w:i/>
        </w:rPr>
        <w:t>mana whenua</w:t>
      </w:r>
      <w:r>
        <w:t xml:space="preserve"> is controversial. The conflict became particularly stark for the Crown and the local authority on the remote Chatham Islands </w:t>
      </w:r>
      <w:r w:rsidRPr="004C03BE">
        <w:t>where</w:t>
      </w:r>
      <w:r>
        <w:t xml:space="preserve"> two tribal groups claim </w:t>
      </w:r>
      <w:r w:rsidRPr="00744328">
        <w:rPr>
          <w:i/>
        </w:rPr>
        <w:t>tangata</w:t>
      </w:r>
      <w:r w:rsidRPr="003220FB">
        <w:t xml:space="preserve"> </w:t>
      </w:r>
      <w:r w:rsidRPr="00744328">
        <w:rPr>
          <w:i/>
        </w:rPr>
        <w:t>whenua</w:t>
      </w:r>
      <w:r>
        <w:t xml:space="preserve"> </w:t>
      </w:r>
      <w:r w:rsidRPr="004C03BE">
        <w:t>status</w:t>
      </w:r>
      <w:r>
        <w:t xml:space="preserve"> over the same territory and therefore the exclusive right to be consulted under the </w:t>
      </w:r>
      <w:r w:rsidRPr="00744328">
        <w:rPr>
          <w:i/>
        </w:rPr>
        <w:t>Resource Management Act 1991</w:t>
      </w:r>
      <w:r>
        <w:t xml:space="preserve"> and the </w:t>
      </w:r>
      <w:r w:rsidRPr="00744328">
        <w:rPr>
          <w:i/>
        </w:rPr>
        <w:t>Conservation Act 1987</w:t>
      </w:r>
      <w:r>
        <w:t xml:space="preserve">. </w:t>
      </w:r>
      <w:r>
        <w:lastRenderedPageBreak/>
        <w:t xml:space="preserve">The statutory definition omits a critical element, the nature of the customary authority implied by the term </w:t>
      </w:r>
      <w:r>
        <w:rPr>
          <w:i/>
        </w:rPr>
        <w:t>mana whenua.</w:t>
      </w:r>
      <w:r>
        <w:t xml:space="preserve"> </w:t>
      </w:r>
    </w:p>
    <w:p w:rsidR="00397914" w:rsidRDefault="00397914" w:rsidP="00397914">
      <w:pPr>
        <w:pStyle w:val="Normaltext1"/>
      </w:pPr>
      <w:r>
        <w:t xml:space="preserve">The Tribunal’s conclusion was that “the infusion of Māori words has muddled the statutory intent” and that the reference to </w:t>
      </w:r>
      <w:r w:rsidRPr="00744328">
        <w:rPr>
          <w:i/>
        </w:rPr>
        <w:t>mana whenua</w:t>
      </w:r>
      <w:r>
        <w:t xml:space="preserve"> in the statute is “out of kilter with cultural ethics”.</w:t>
      </w:r>
      <w:r>
        <w:rPr>
          <w:rStyle w:val="FootnoteReference"/>
        </w:rPr>
        <w:footnoteReference w:id="106"/>
      </w:r>
      <w:r>
        <w:t xml:space="preserve"> The recommendation to the Crown was to remove the term from the statute book and use other words to express the legislative intent.</w:t>
      </w:r>
    </w:p>
    <w:p w:rsidR="00397914" w:rsidRDefault="00397914" w:rsidP="00397914">
      <w:pPr>
        <w:pStyle w:val="Normaltext1"/>
      </w:pPr>
      <w:r>
        <w:t xml:space="preserve">Despite that recommendation, the term has continued in use in the </w:t>
      </w:r>
      <w:r w:rsidRPr="00744328">
        <w:rPr>
          <w:i/>
        </w:rPr>
        <w:t xml:space="preserve">Resource Management Act 1991 </w:t>
      </w:r>
      <w:r>
        <w:t xml:space="preserve">and more recently in the </w:t>
      </w:r>
      <w:r w:rsidRPr="00744328">
        <w:rPr>
          <w:i/>
        </w:rPr>
        <w:t>Heritage New Zealand Pouhere Taonga Act 2014</w:t>
      </w:r>
      <w:r>
        <w:t xml:space="preserve"> (for the sake of consistency with the </w:t>
      </w:r>
      <w:r w:rsidRPr="00744328">
        <w:rPr>
          <w:i/>
        </w:rPr>
        <w:t>Resource Management Act 1991</w:t>
      </w:r>
      <w:r>
        <w:t>).</w:t>
      </w:r>
      <w:r>
        <w:rPr>
          <w:rStyle w:val="FootnoteReference"/>
        </w:rPr>
        <w:footnoteReference w:id="107"/>
      </w:r>
      <w:r>
        <w:t xml:space="preserve">  </w:t>
      </w:r>
    </w:p>
    <w:p w:rsidR="00397914" w:rsidRDefault="00397914" w:rsidP="00397914">
      <w:pPr>
        <w:pStyle w:val="Normaltext1"/>
      </w:pPr>
      <w:r>
        <w:t xml:space="preserve">In the </w:t>
      </w:r>
      <w:r w:rsidRPr="00744328">
        <w:rPr>
          <w:i/>
        </w:rPr>
        <w:t>Local Government (Auckland Council) Act 2009</w:t>
      </w:r>
      <w:r>
        <w:t xml:space="preserve">, the term </w:t>
      </w:r>
      <w:r>
        <w:rPr>
          <w:i/>
        </w:rPr>
        <w:t xml:space="preserve">mana whenua </w:t>
      </w:r>
      <w:r>
        <w:t xml:space="preserve">is used as the title of a collective of 13 </w:t>
      </w:r>
      <w:r w:rsidRPr="00744328">
        <w:rPr>
          <w:i/>
        </w:rPr>
        <w:t>iwi</w:t>
      </w:r>
      <w:r>
        <w:t xml:space="preserve"> in the Auckland area who grouped themselves as “</w:t>
      </w:r>
      <w:r>
        <w:rPr>
          <w:i/>
        </w:rPr>
        <w:t xml:space="preserve">mana whenua </w:t>
      </w:r>
      <w:r>
        <w:t xml:space="preserve">groups” to establish a representative board for the purpose of working with the Auckland Council on matters of significance for the </w:t>
      </w:r>
      <w:r w:rsidRPr="00744328">
        <w:rPr>
          <w:i/>
        </w:rPr>
        <w:t>iwi</w:t>
      </w:r>
      <w:r>
        <w:t xml:space="preserve">. In this context, the concept of </w:t>
      </w:r>
      <w:r w:rsidRPr="00615FA1">
        <w:rPr>
          <w:i/>
        </w:rPr>
        <w:t>mana whenua</w:t>
      </w:r>
      <w:r>
        <w:t xml:space="preserve"> affirms the customary links among the members of the groups and provides a rationale for the relationship required among those groups and with the local authority.</w:t>
      </w:r>
    </w:p>
    <w:p w:rsidR="00397914" w:rsidRPr="004A0D3F" w:rsidRDefault="00397914" w:rsidP="00397914">
      <w:pPr>
        <w:pStyle w:val="Normaltext1"/>
      </w:pPr>
      <w:r>
        <w:t xml:space="preserve">The term </w:t>
      </w:r>
      <w:r>
        <w:rPr>
          <w:i/>
        </w:rPr>
        <w:t>tangata whenua</w:t>
      </w:r>
      <w:r>
        <w:t xml:space="preserve">, other than as defined in conjunction with </w:t>
      </w:r>
      <w:r>
        <w:rPr>
          <w:i/>
        </w:rPr>
        <w:t>mana whenua,</w:t>
      </w:r>
      <w:r>
        <w:t xml:space="preserve"> seems to mean no more than “Māori”, identifying the people as people of the land. In some contexts, that will clearly be the Māori people of a particular area, but in other contexts it is used without that limitation and applies as a synonym for Māori. The phrase “Māori as </w:t>
      </w:r>
      <w:r w:rsidRPr="00744328">
        <w:rPr>
          <w:i/>
        </w:rPr>
        <w:t>tangata whenua”</w:t>
      </w:r>
      <w:r>
        <w:t xml:space="preserve"> appears to imply an explanation for particular recognition being accorded to Māori.</w:t>
      </w:r>
      <w:r>
        <w:rPr>
          <w:rStyle w:val="FootnoteReference"/>
        </w:rPr>
        <w:footnoteReference w:id="108"/>
      </w:r>
      <w:r>
        <w:t xml:space="preserve"> </w:t>
      </w:r>
    </w:p>
    <w:p w:rsidR="00397914" w:rsidRPr="004130E7" w:rsidRDefault="00397914" w:rsidP="00397914">
      <w:pPr>
        <w:pStyle w:val="Heading4"/>
      </w:pPr>
      <w:r w:rsidRPr="004130E7">
        <w:t>Family relationships: whanaungatanga</w:t>
      </w:r>
    </w:p>
    <w:p w:rsidR="00397914" w:rsidRDefault="00397914" w:rsidP="00397914">
      <w:pPr>
        <w:pStyle w:val="Normaltext1"/>
      </w:pPr>
      <w:r>
        <w:t xml:space="preserve">An important </w:t>
      </w:r>
      <w:r w:rsidRPr="000E06E1">
        <w:t>element of tikanga</w:t>
      </w:r>
      <w:r>
        <w:t xml:space="preserve"> Māori is</w:t>
      </w:r>
      <w:r>
        <w:rPr>
          <w:i/>
        </w:rPr>
        <w:t xml:space="preserve"> </w:t>
      </w:r>
      <w:r w:rsidRPr="00883972">
        <w:t>the system of</w:t>
      </w:r>
      <w:r>
        <w:rPr>
          <w:i/>
        </w:rPr>
        <w:t xml:space="preserve"> </w:t>
      </w:r>
      <w:r w:rsidRPr="003220FB">
        <w:rPr>
          <w:i/>
        </w:rPr>
        <w:t>whanaungatanga</w:t>
      </w:r>
      <w:r>
        <w:t xml:space="preserve">, the source of obligations and rights based on familial or </w:t>
      </w:r>
      <w:r>
        <w:rPr>
          <w:i/>
        </w:rPr>
        <w:t>whakapapa</w:t>
      </w:r>
      <w:r>
        <w:t xml:space="preserve"> relationships (descent, lineage) going back to the foundation of a tribe.</w:t>
      </w:r>
      <w:r w:rsidRPr="009F5EDE">
        <w:rPr>
          <w:rStyle w:val="FootnoteReference"/>
        </w:rPr>
        <w:t xml:space="preserve"> </w:t>
      </w:r>
      <w:r>
        <w:rPr>
          <w:rStyle w:val="FootnoteReference"/>
        </w:rPr>
        <w:footnoteReference w:id="109"/>
      </w:r>
      <w:r>
        <w:t xml:space="preserve"> </w:t>
      </w:r>
      <w:r w:rsidRPr="00744328">
        <w:rPr>
          <w:i/>
        </w:rPr>
        <w:t>Whanaungatanga</w:t>
      </w:r>
      <w:r>
        <w:t xml:space="preserve"> governs how personal relationships are organised and maintained. The term has not been used in any statute of general application, but its core element, </w:t>
      </w:r>
      <w:r>
        <w:rPr>
          <w:i/>
        </w:rPr>
        <w:t>whā</w:t>
      </w:r>
      <w:r w:rsidRPr="00461B95">
        <w:rPr>
          <w:i/>
        </w:rPr>
        <w:t>nau</w:t>
      </w:r>
      <w:r>
        <w:t xml:space="preserve"> (family) has. A </w:t>
      </w:r>
      <w:r w:rsidRPr="00744328">
        <w:rPr>
          <w:i/>
        </w:rPr>
        <w:t>whānau</w:t>
      </w:r>
      <w:r w:rsidRPr="00A16342">
        <w:t xml:space="preserve"> </w:t>
      </w:r>
      <w:r>
        <w:t xml:space="preserve">is a group wider than the nuclear family of many Western cultures. It will typically include 2 or more generations along with the families of siblings. Each level of the organisational pyramid has persons recognised for their </w:t>
      </w:r>
      <w:r w:rsidRPr="003220FB">
        <w:t>mana</w:t>
      </w:r>
      <w:r>
        <w:rPr>
          <w:i/>
        </w:rPr>
        <w:t>.</w:t>
      </w:r>
      <w:r>
        <w:t xml:space="preserve"> </w:t>
      </w:r>
      <w:r w:rsidRPr="00B91ED3">
        <w:t>Family</w:t>
      </w:r>
      <w:r>
        <w:t xml:space="preserve"> law statutes, in particular,  have long included references to </w:t>
      </w:r>
      <w:r w:rsidRPr="00744328">
        <w:rPr>
          <w:i/>
        </w:rPr>
        <w:t>whānau</w:t>
      </w:r>
      <w:r>
        <w:t xml:space="preserve"> as </w:t>
      </w:r>
      <w:r>
        <w:lastRenderedPageBreak/>
        <w:t>well as to “family” and “family group”, presumably for inclusivity and to denote a cultural distinction.</w:t>
      </w:r>
      <w:r>
        <w:rPr>
          <w:rStyle w:val="FootnoteReference"/>
        </w:rPr>
        <w:footnoteReference w:id="110"/>
      </w:r>
      <w:r>
        <w:t xml:space="preserve"> </w:t>
      </w:r>
    </w:p>
    <w:p w:rsidR="00397914" w:rsidRDefault="00397914" w:rsidP="00397914">
      <w:pPr>
        <w:pStyle w:val="Normaltext1"/>
      </w:pPr>
      <w:r>
        <w:t xml:space="preserve">The </w:t>
      </w:r>
      <w:r w:rsidRPr="00744328">
        <w:rPr>
          <w:i/>
        </w:rPr>
        <w:t>Children, Young Persons, and Their Families (Oranga Tamariki) Legislation Act 2017</w:t>
      </w:r>
      <w:r>
        <w:t xml:space="preserve"> gives effect to a new “Vulnerable Children” policy in the context of </w:t>
      </w:r>
      <w:r>
        <w:rPr>
          <w:i/>
        </w:rPr>
        <w:t xml:space="preserve">oranga </w:t>
      </w:r>
      <w:r w:rsidRPr="009F5EDE">
        <w:rPr>
          <w:i/>
        </w:rPr>
        <w:t>tamariki</w:t>
      </w:r>
      <w:r>
        <w:t xml:space="preserve">, the welfare or well-being of children. This Act considerably extends the use of the Māori language in its novel definitions of certain key terms: </w:t>
      </w:r>
    </w:p>
    <w:p w:rsidR="00397914" w:rsidRPr="00A25BF8" w:rsidRDefault="00397914" w:rsidP="00397914">
      <w:pPr>
        <w:pStyle w:val="Normaltext2"/>
        <w:rPr>
          <w:b/>
        </w:rPr>
      </w:pPr>
      <w:r w:rsidRPr="00744328">
        <w:rPr>
          <w:b/>
          <w:i/>
        </w:rPr>
        <w:t>mana tamaiti (tamariki)</w:t>
      </w:r>
      <w:r w:rsidRPr="00A25BF8">
        <w:t>, in relation to a person who is Māori, means their intrinsic worth, well-being, and capacity and ability to make decisions about their own life</w:t>
      </w:r>
    </w:p>
    <w:p w:rsidR="00397914" w:rsidRPr="00A25BF8" w:rsidRDefault="00397914" w:rsidP="00397914">
      <w:pPr>
        <w:pStyle w:val="Normaltext2"/>
      </w:pPr>
      <w:r w:rsidRPr="00744328">
        <w:rPr>
          <w:b/>
          <w:i/>
        </w:rPr>
        <w:t>whakapapa</w:t>
      </w:r>
      <w:r w:rsidRPr="00A25BF8">
        <w:rPr>
          <w:i/>
        </w:rPr>
        <w:t>,</w:t>
      </w:r>
      <w:r w:rsidRPr="00A25BF8">
        <w:t xml:space="preserve"> in relation to a person, means the multi-generational kinship relationships that help to describe who the person is in terms of their mātua (parents), and tūpuna (ancestors), from whom they descend</w:t>
      </w:r>
    </w:p>
    <w:p w:rsidR="00397914" w:rsidRPr="00A25BF8" w:rsidRDefault="00397914" w:rsidP="00397914">
      <w:pPr>
        <w:pStyle w:val="Normaltext2"/>
      </w:pPr>
      <w:r w:rsidRPr="00744328">
        <w:rPr>
          <w:b/>
          <w:i/>
        </w:rPr>
        <w:t>whanaungatanga</w:t>
      </w:r>
      <w:r w:rsidRPr="00A25BF8">
        <w:t xml:space="preserve">, in relation to a person, means— </w:t>
      </w:r>
    </w:p>
    <w:p w:rsidR="00397914" w:rsidRPr="00A25BF8" w:rsidRDefault="00397914" w:rsidP="00397914">
      <w:pPr>
        <w:pStyle w:val="Normaltext3"/>
        <w:numPr>
          <w:ilvl w:val="0"/>
          <w:numId w:val="32"/>
        </w:numPr>
        <w:rPr>
          <w:i/>
        </w:rPr>
      </w:pPr>
      <w:r w:rsidRPr="00A25BF8">
        <w:t>the purposeful carrying out of responsibilities based on obligations to whakapapa:</w:t>
      </w:r>
    </w:p>
    <w:p w:rsidR="00397914" w:rsidRPr="00A25BF8" w:rsidRDefault="00397914" w:rsidP="00397914">
      <w:pPr>
        <w:pStyle w:val="Normaltext3"/>
        <w:numPr>
          <w:ilvl w:val="0"/>
          <w:numId w:val="32"/>
        </w:numPr>
        <w:rPr>
          <w:i/>
        </w:rPr>
      </w:pPr>
      <w:r w:rsidRPr="00A25BF8">
        <w:t>the kinship that provides the foundations for reciprocal obligations and responsibilities to be met:</w:t>
      </w:r>
    </w:p>
    <w:p w:rsidR="00397914" w:rsidRPr="00406965" w:rsidRDefault="00397914" w:rsidP="00397914">
      <w:pPr>
        <w:pStyle w:val="Normaltext3"/>
        <w:numPr>
          <w:ilvl w:val="0"/>
          <w:numId w:val="32"/>
        </w:numPr>
        <w:rPr>
          <w:i/>
        </w:rPr>
      </w:pPr>
      <w:r w:rsidRPr="00A25BF8">
        <w:t>the wider kinship ties that need to be protected and maintained to ensure the maintenance</w:t>
      </w:r>
      <w:r>
        <w:t xml:space="preserve"> and protection of their sense of belonging, identity, and connection.</w:t>
      </w:r>
      <w:r>
        <w:rPr>
          <w:rStyle w:val="FootnoteReference"/>
        </w:rPr>
        <w:footnoteReference w:id="111"/>
      </w:r>
    </w:p>
    <w:p w:rsidR="00397914" w:rsidRPr="00740EDF" w:rsidRDefault="00397914" w:rsidP="00397914">
      <w:pPr>
        <w:pStyle w:val="Heading3"/>
      </w:pPr>
      <w:bookmarkStart w:id="404" w:name="_Toc503170564"/>
      <w:bookmarkStart w:id="405" w:name="_Toc503290283"/>
      <w:bookmarkStart w:id="406" w:name="_Toc504579947"/>
      <w:r w:rsidRPr="00740EDF">
        <w:t>Treaty settlement statutes</w:t>
      </w:r>
      <w:bookmarkEnd w:id="404"/>
      <w:bookmarkEnd w:id="405"/>
      <w:bookmarkEnd w:id="406"/>
    </w:p>
    <w:p w:rsidR="00397914" w:rsidRDefault="00397914" w:rsidP="00397914">
      <w:pPr>
        <w:pStyle w:val="Normaltext1"/>
      </w:pPr>
      <w:r>
        <w:t xml:space="preserve">An important aspect of government policy since the mid-1990s has been the settlement of Treaty of Waitangi claims. A settlement is a contractual arrangement negotiated between the Crown and a Māori claimant group, usually a large natural kin-based group, a tribe or iwi. The intent is to settle on a final basis the historic grievances of an </w:t>
      </w:r>
      <w:r w:rsidRPr="00744328">
        <w:rPr>
          <w:i/>
        </w:rPr>
        <w:t xml:space="preserve">iwi </w:t>
      </w:r>
      <w:r>
        <w:t>against the Crown for breaches of the Treaty of Waitangi, whether by omission or commission, before September 1992.</w:t>
      </w:r>
      <w:r>
        <w:rPr>
          <w:rStyle w:val="FootnoteReference"/>
        </w:rPr>
        <w:footnoteReference w:id="112"/>
      </w:r>
      <w:r>
        <w:t xml:space="preserve"> Settlements also require a statute to give effect to certain elements of the settlement, in particular where this is necessary or expedient to override existing legislation, as well as to provide a privative clause that gives effect to the government’s intention that settlements </w:t>
      </w:r>
      <w:r>
        <w:lastRenderedPageBreak/>
        <w:t>are final. These statutes, by convention, involve cross-party political “understandings”, and the Bills are largely insulated from a number of rules affecting the legislative processes.</w:t>
      </w:r>
      <w:r>
        <w:rPr>
          <w:rStyle w:val="FootnoteReference"/>
        </w:rPr>
        <w:footnoteReference w:id="113"/>
      </w:r>
      <w:r>
        <w:t xml:space="preserve"> </w:t>
      </w:r>
    </w:p>
    <w:p w:rsidR="00397914" w:rsidRDefault="00397914" w:rsidP="00397914">
      <w:pPr>
        <w:pStyle w:val="Normaltext1"/>
      </w:pPr>
      <w:r>
        <w:t xml:space="preserve">In reaching a settlement with an </w:t>
      </w:r>
      <w:r w:rsidRPr="00744328">
        <w:rPr>
          <w:i/>
        </w:rPr>
        <w:t>iwi</w:t>
      </w:r>
      <w:r>
        <w:t>, the Crown exercises its legitimate executive powers to enter into a binding contract, a deed of settlement. Legislation, though not needed for all elements of the settlement, is needed to ensure the successful implementation of the settlement and to give the Crown some security that the settlement is final.</w:t>
      </w:r>
      <w:r>
        <w:rPr>
          <w:rStyle w:val="FootnoteReference"/>
        </w:rPr>
        <w:footnoteReference w:id="114"/>
      </w:r>
      <w:r>
        <w:t xml:space="preserve"> Given that a binding contract lies behind the proposed legislation, and the purpose of the Act is expressly stated as being to give effect to that contract, there is a fetter in practice on Parliament’s role in scrutinising the settlement legislation. Members appear to accept that legal innovations and unusual drafting solutions are at times required to reflect the Māori perspective.</w:t>
      </w:r>
    </w:p>
    <w:p w:rsidR="00397914" w:rsidRDefault="00397914" w:rsidP="00397914">
      <w:pPr>
        <w:pStyle w:val="Normaltext1"/>
      </w:pPr>
      <w:r>
        <w:t xml:space="preserve">Māori words and phrases are used liberally in settlement statutes, particularly in relation to the cultural redress that is negotiated. To a significant extent, the </w:t>
      </w:r>
      <w:r w:rsidRPr="00744328">
        <w:rPr>
          <w:i/>
        </w:rPr>
        <w:t>iwi</w:t>
      </w:r>
      <w:r>
        <w:t xml:space="preserve"> concerned chooses the language of the deed of settlement, as a means of reflecting the customary language of the iwi, which is often metaphorical in style. The dialect of Māori used in this context is usually that of the particular </w:t>
      </w:r>
      <w:r w:rsidRPr="00744328">
        <w:rPr>
          <w:i/>
        </w:rPr>
        <w:t>iwi</w:t>
      </w:r>
      <w:r>
        <w:t xml:space="preserve">. Dialectal differences and the metaphors and mythology of the </w:t>
      </w:r>
      <w:r w:rsidRPr="00744328">
        <w:rPr>
          <w:i/>
        </w:rPr>
        <w:t>iwi</w:t>
      </w:r>
      <w:r>
        <w:t xml:space="preserve"> are respected. There is also a strong expectation by the </w:t>
      </w:r>
      <w:r w:rsidRPr="00744328">
        <w:rPr>
          <w:i/>
        </w:rPr>
        <w:t>iwi</w:t>
      </w:r>
      <w:r>
        <w:t xml:space="preserve"> that the settlement legislation will replicate the language of the deed of settlement. This can create tension with good drafting practice and runs the risk of ambiguity and uncertainty.</w:t>
      </w:r>
    </w:p>
    <w:p w:rsidR="00397914" w:rsidRDefault="00397914" w:rsidP="00397914">
      <w:pPr>
        <w:pStyle w:val="Normaltext1"/>
      </w:pPr>
      <w:r>
        <w:t xml:space="preserve">The cultural redress is unlikely to be of economic value to an </w:t>
      </w:r>
      <w:r w:rsidRPr="00744328">
        <w:rPr>
          <w:i/>
        </w:rPr>
        <w:t xml:space="preserve">iwi </w:t>
      </w:r>
      <w:r>
        <w:t xml:space="preserve">but is critical to its sense of well-being, its standing in both the Māori community and the wider community, and its sense of past wrongs being rectified. The redress will typically include the return of land from the estate managed under conservation legislation, usually so that the </w:t>
      </w:r>
      <w:r w:rsidRPr="00744328">
        <w:rPr>
          <w:i/>
        </w:rPr>
        <w:t xml:space="preserve">iwi </w:t>
      </w:r>
      <w:r>
        <w:t xml:space="preserve">gains a symbolic title over once publicly owned land, while the land retains the former conservation protections and remains inalienable. The recognition in the statute of a statement of the </w:t>
      </w:r>
      <w:r w:rsidRPr="00744328">
        <w:rPr>
          <w:i/>
        </w:rPr>
        <w:t>iwi</w:t>
      </w:r>
      <w:r>
        <w:t xml:space="preserve"> association with an area of land brings with it a presumption that, in the event of any proposed development, the iwi has standing to participate in decision-making processes. Increasingly, arrangements are negotiated with local councils for </w:t>
      </w:r>
      <w:r w:rsidRPr="00744328">
        <w:rPr>
          <w:i/>
        </w:rPr>
        <w:t>iwi</w:t>
      </w:r>
      <w:r>
        <w:t xml:space="preserve"> to participate in the functions of local government through the co-governance or co-management of natural resources in a region or district. Place names have a special place in the traditions of an </w:t>
      </w:r>
      <w:r w:rsidRPr="00744328">
        <w:rPr>
          <w:i/>
        </w:rPr>
        <w:t>iwi</w:t>
      </w:r>
      <w:r>
        <w:t xml:space="preserve">, and many traditional names are restored through the statute in respect of the traditional perspective of Māori. </w:t>
      </w:r>
    </w:p>
    <w:p w:rsidR="00397914" w:rsidRDefault="00397914" w:rsidP="00397914">
      <w:pPr>
        <w:pStyle w:val="Normaltext1"/>
      </w:pPr>
      <w:r>
        <w:lastRenderedPageBreak/>
        <w:t xml:space="preserve">One of the more unusual elements of cultural redress is  seen in the </w:t>
      </w:r>
      <w:r w:rsidRPr="00744328">
        <w:rPr>
          <w:i/>
        </w:rPr>
        <w:t>Haka Ka Mate Attribution Act 2014</w:t>
      </w:r>
      <w:r>
        <w:t xml:space="preserve">. The famous haka of Te Rauparaha, </w:t>
      </w:r>
      <w:r w:rsidRPr="00740EDF">
        <w:rPr>
          <w:i/>
        </w:rPr>
        <w:t>Ka Mate</w:t>
      </w:r>
      <w:r>
        <w:rPr>
          <w:i/>
        </w:rPr>
        <w:t>,</w:t>
      </w:r>
      <w:r>
        <w:t xml:space="preserve"> is acknowledged as a </w:t>
      </w:r>
      <w:r w:rsidRPr="00744328">
        <w:rPr>
          <w:i/>
        </w:rPr>
        <w:t>taonga</w:t>
      </w:r>
      <w:r>
        <w:t xml:space="preserve"> and an integral element in the history, culture, and identity of the </w:t>
      </w:r>
      <w:r w:rsidRPr="00744328">
        <w:rPr>
          <w:i/>
        </w:rPr>
        <w:t xml:space="preserve">iwi </w:t>
      </w:r>
      <w:r w:rsidRPr="00137EB7">
        <w:t>Ngāti Toa</w:t>
      </w:r>
      <w:r>
        <w:t xml:space="preserve">. The </w:t>
      </w:r>
      <w:r w:rsidRPr="00744328">
        <w:rPr>
          <w:i/>
        </w:rPr>
        <w:t xml:space="preserve">iwi </w:t>
      </w:r>
      <w:r>
        <w:t xml:space="preserve">statement of the creation and importance of </w:t>
      </w:r>
      <w:r w:rsidRPr="00744328">
        <w:rPr>
          <w:i/>
        </w:rPr>
        <w:t>Ka Mate</w:t>
      </w:r>
      <w:r>
        <w:t xml:space="preserve"> is set out in a schedule to the Act. The Act also reserves for </w:t>
      </w:r>
      <w:r w:rsidRPr="00137EB7">
        <w:t>Ngāti Toa</w:t>
      </w:r>
      <w:r>
        <w:t xml:space="preserve"> and Te Rauparaha the right of attribution in any public communication of </w:t>
      </w:r>
      <w:r w:rsidRPr="00744328">
        <w:rPr>
          <w:i/>
        </w:rPr>
        <w:t>Ka Mate</w:t>
      </w:r>
      <w:r>
        <w:t>.</w:t>
      </w:r>
    </w:p>
    <w:p w:rsidR="00397914" w:rsidRDefault="00397914" w:rsidP="00397914">
      <w:pPr>
        <w:pStyle w:val="Normaltext1"/>
      </w:pPr>
      <w:r>
        <w:t xml:space="preserve">The settlement Acts usually include a summary of the historical events (that is, events before 1992) that created the grievance. Acknowledgement by the Crown of its culpability for breaching the Treaty and its principles and an apology to the </w:t>
      </w:r>
      <w:r w:rsidRPr="00744328">
        <w:rPr>
          <w:i/>
        </w:rPr>
        <w:t>iwi</w:t>
      </w:r>
      <w:r>
        <w:t xml:space="preserve"> concerned are both critical elements of the settlement legislation. Although these provisions are not operative in the scheme of the Act, they have a strong interpretative function and are accordingly carefully negotiated with the iwi and frequently included in the Act in both English and Māori. </w:t>
      </w:r>
    </w:p>
    <w:p w:rsidR="00397914" w:rsidRPr="004130E7" w:rsidRDefault="00397914" w:rsidP="00397914">
      <w:pPr>
        <w:pStyle w:val="Heading4"/>
      </w:pPr>
      <w:r w:rsidRPr="004130E7">
        <w:t>Legal personality: Te Urewera and Te Awa Tupua</w:t>
      </w:r>
    </w:p>
    <w:p w:rsidR="00397914" w:rsidRDefault="00397914" w:rsidP="00397914">
      <w:pPr>
        <w:pStyle w:val="Normaltext1"/>
      </w:pPr>
      <w:r>
        <w:t>Two recent settlement Acts have gained considerable public, including international, attention for having conferred legal personality on valued natural resources.</w:t>
      </w:r>
      <w:r>
        <w:rPr>
          <w:rStyle w:val="FootnoteReference"/>
        </w:rPr>
        <w:footnoteReference w:id="115"/>
      </w:r>
      <w:r>
        <w:t xml:space="preserve"> This approach resonates with the way Māori, like many indigenous peoples, view elements of the environment: great trees, rivers, rocky islands, fishing grounds, or important landmarks, such as mountains, are personified, often in terms of a tribal ancestor, and are addressed as persons. </w:t>
      </w:r>
    </w:p>
    <w:p w:rsidR="00397914" w:rsidRDefault="00397914" w:rsidP="00397914">
      <w:pPr>
        <w:pStyle w:val="Normaltext1"/>
      </w:pPr>
      <w:r>
        <w:t xml:space="preserve">For Tūhoe, a tribe occupying a vast and remote national park in the central North Island, legal personality was conferred on that park, to be known as Te Urewera. The mechanism was intended to “neutralise” ownership because the prospect of private ownership of a national park was politically unacceptable. The statute declares Te Urewera  to be a legal person and vests legal title to the land in Te Urewera. Te Urewera owns itself. The area ceases to be a national park, though it will be managed jointly by Tūhoe and the Crown to achieve many of the same objectives that apply to a national park. </w:t>
      </w:r>
    </w:p>
    <w:p w:rsidR="00397914" w:rsidRDefault="00397914" w:rsidP="00397914">
      <w:pPr>
        <w:pStyle w:val="Normaltext1"/>
      </w:pPr>
      <w:r>
        <w:t>Through the “human face” of Te Urewera, a Crown and Tuhoe appointed board, Te Urewera exercises the powers of a legal person.</w:t>
      </w:r>
      <w:r>
        <w:rPr>
          <w:rStyle w:val="FootnoteReference"/>
        </w:rPr>
        <w:footnoteReference w:id="116"/>
      </w:r>
      <w:r>
        <w:t xml:space="preserve"> Under the Act, Tūhoe assert </w:t>
      </w:r>
      <w:r>
        <w:rPr>
          <w:i/>
        </w:rPr>
        <w:t>Tūhoetanga</w:t>
      </w:r>
      <w:r>
        <w:t xml:space="preserve">, </w:t>
      </w:r>
      <w:r>
        <w:lastRenderedPageBreak/>
        <w:t xml:space="preserve">the </w:t>
      </w:r>
      <w:r w:rsidRPr="003220FB">
        <w:rPr>
          <w:i/>
        </w:rPr>
        <w:t>tikanga</w:t>
      </w:r>
      <w:r>
        <w:t xml:space="preserve"> of Tūhoe, and </w:t>
      </w:r>
      <w:r w:rsidRPr="00453637">
        <w:rPr>
          <w:i/>
        </w:rPr>
        <w:t>Tūhoe mana motuhake</w:t>
      </w:r>
      <w:r>
        <w:t xml:space="preserve"> (Tūhoe tribal autonomy and control). All statutory decision making must respect Tūhoe values in the interests of protecting the historical and cultural heritage of Te Urewera and enabling Tūhoe to function as the </w:t>
      </w:r>
      <w:r w:rsidRPr="00397914">
        <w:rPr>
          <w:i/>
        </w:rPr>
        <w:t>kaitiaki</w:t>
      </w:r>
      <w:r>
        <w:t xml:space="preserve"> of Te Urewera.</w:t>
      </w:r>
    </w:p>
    <w:p w:rsidR="00397914" w:rsidRDefault="00397914" w:rsidP="00397914">
      <w:pPr>
        <w:pStyle w:val="Normaltext1"/>
      </w:pPr>
      <w:r>
        <w:t xml:space="preserve">The </w:t>
      </w:r>
      <w:r w:rsidRPr="00744328">
        <w:rPr>
          <w:i/>
        </w:rPr>
        <w:t>Te Awa Tupua (Whanganui River Claims Settlement) Act 2017</w:t>
      </w:r>
      <w:r>
        <w:t xml:space="preserve"> confers legal personality on the Whanganui River. This is a river of great cultural and spiritual value to the people with </w:t>
      </w:r>
      <w:r w:rsidRPr="00744328">
        <w:rPr>
          <w:i/>
        </w:rPr>
        <w:t>mana whenua</w:t>
      </w:r>
      <w:r>
        <w:t xml:space="preserve">, but it </w:t>
      </w:r>
      <w:r w:rsidRPr="006C7786">
        <w:t>is</w:t>
      </w:r>
      <w:r>
        <w:rPr>
          <w:i/>
        </w:rPr>
        <w:t xml:space="preserve"> </w:t>
      </w:r>
      <w:r>
        <w:t xml:space="preserve">also a river that has made a significant contribution to hydroelectricity generation in New Zealand. The people of the Whanganui </w:t>
      </w:r>
      <w:r w:rsidRPr="00744328">
        <w:rPr>
          <w:i/>
        </w:rPr>
        <w:t>iwi</w:t>
      </w:r>
      <w:r>
        <w:t xml:space="preserve"> claim identity with the river: “</w:t>
      </w:r>
      <w:r>
        <w:rPr>
          <w:i/>
        </w:rPr>
        <w:t>Ko au te awa; Ko te awa ko au” (</w:t>
      </w:r>
      <w:r w:rsidRPr="00744328">
        <w:t>I am the river and the river is me</w:t>
      </w:r>
      <w:r>
        <w:rPr>
          <w:i/>
        </w:rPr>
        <w:t>).</w:t>
      </w:r>
      <w:r>
        <w:t xml:space="preserve"> The statute vests the Crown-owned parts of the bed of this river in the personification of the river as Te Awa Tupua, which is recognised in the statute as - </w:t>
      </w:r>
    </w:p>
    <w:p w:rsidR="00397914" w:rsidRDefault="00397914" w:rsidP="00397914">
      <w:pPr>
        <w:pStyle w:val="Normaltext2"/>
      </w:pPr>
      <w:r>
        <w:t>… an indivisible and living whole, comprising the Whanganui River from the mountains to the sea, incorporating all its physical and metaphysical elements.</w:t>
      </w:r>
      <w:r w:rsidRPr="00F65EB3">
        <w:rPr>
          <w:rStyle w:val="FootnoteReference"/>
        </w:rPr>
        <w:t xml:space="preserve"> </w:t>
      </w:r>
      <w:r>
        <w:rPr>
          <w:rStyle w:val="FootnoteReference"/>
        </w:rPr>
        <w:footnoteReference w:id="117"/>
      </w:r>
      <w:r>
        <w:t xml:space="preserve"> </w:t>
      </w:r>
    </w:p>
    <w:p w:rsidR="00397914" w:rsidRDefault="00397914" w:rsidP="00397914">
      <w:pPr>
        <w:pStyle w:val="Normaltext1"/>
      </w:pPr>
      <w:r>
        <w:t>That recognition, together with the declaration of legal personality of Te Awa Tupua, constitute the “status” of the river. Significant legal consequences attach to the status. Decision makers acting under 26 statutes, mainly environmental statutes, must act in such a way as to “recognise and provide for” that status of Te Awa Tupua and for its intrinsic values, expressed in metaphorical terms.</w:t>
      </w:r>
      <w:r>
        <w:rPr>
          <w:rStyle w:val="FootnoteReference"/>
        </w:rPr>
        <w:footnoteReference w:id="118"/>
      </w:r>
    </w:p>
    <w:p w:rsidR="00397914" w:rsidRDefault="00397914" w:rsidP="00397914">
      <w:pPr>
        <w:pStyle w:val="Normaltext1"/>
      </w:pPr>
      <w:r>
        <w:t>The human face of the river is a two-person “office”, Te Pou Tupua, with powers to act in the name of Te Awa Tupua.</w:t>
      </w:r>
      <w:r>
        <w:rPr>
          <w:rStyle w:val="FootnoteReference"/>
        </w:rPr>
        <w:footnoteReference w:id="119"/>
      </w:r>
      <w:r>
        <w:t xml:space="preserve"> </w:t>
      </w:r>
    </w:p>
    <w:p w:rsidR="00397914" w:rsidRDefault="00397914" w:rsidP="00397914">
      <w:pPr>
        <w:pStyle w:val="Normaltext1"/>
      </w:pPr>
      <w:r>
        <w:t>The device of giving legal personality to a park and a river has been described as viewing nature as an ancestor,</w:t>
      </w:r>
      <w:r>
        <w:rPr>
          <w:rStyle w:val="FootnoteReference"/>
        </w:rPr>
        <w:footnoteReference w:id="120"/>
      </w:r>
      <w:r>
        <w:t xml:space="preserve"> an expression of the </w:t>
      </w:r>
      <w:r w:rsidRPr="00F02B2B">
        <w:rPr>
          <w:i/>
        </w:rPr>
        <w:t>mana motuhake</w:t>
      </w:r>
      <w:r>
        <w:t xml:space="preserve"> </w:t>
      </w:r>
      <w:r w:rsidRPr="00637485">
        <w:t>(independence)</w:t>
      </w:r>
      <w:r>
        <w:t xml:space="preserve"> of Tūhoe,</w:t>
      </w:r>
      <w:r>
        <w:rPr>
          <w:rStyle w:val="FootnoteReference"/>
        </w:rPr>
        <w:footnoteReference w:id="121"/>
      </w:r>
      <w:r>
        <w:t xml:space="preserve"> and upholding the </w:t>
      </w:r>
      <w:r w:rsidRPr="000F163C">
        <w:rPr>
          <w:i/>
        </w:rPr>
        <w:t>mana</w:t>
      </w:r>
      <w:r>
        <w:t xml:space="preserve"> of Te Awa Tupua.</w:t>
      </w:r>
      <w:r>
        <w:rPr>
          <w:rStyle w:val="FootnoteReference"/>
        </w:rPr>
        <w:footnoteReference w:id="122"/>
      </w:r>
      <w:r>
        <w:t xml:space="preserve"> The statutes are accepted as going some way towards reflecting </w:t>
      </w:r>
      <w:r w:rsidRPr="00744328">
        <w:rPr>
          <w:i/>
        </w:rPr>
        <w:t>te ao Māori</w:t>
      </w:r>
      <w:r>
        <w:rPr>
          <w:i/>
        </w:rPr>
        <w:t xml:space="preserve"> </w:t>
      </w:r>
      <w:r>
        <w:t xml:space="preserve">in legislation, and functioning as a substantive acknowledgement of a distinctive Māori cultural identity. This suggests that these two settlements mark a new departure in legislating for a pluralistic legal system. </w:t>
      </w:r>
    </w:p>
    <w:p w:rsidR="00397914" w:rsidRDefault="00397914" w:rsidP="00397914">
      <w:pPr>
        <w:pStyle w:val="Normaltext1"/>
      </w:pPr>
      <w:r>
        <w:lastRenderedPageBreak/>
        <w:t>But there are critics. Concern has been expressed that both statutes</w:t>
      </w:r>
      <w:r>
        <w:rPr>
          <w:i/>
        </w:rPr>
        <w:t xml:space="preserve"> </w:t>
      </w:r>
      <w:r>
        <w:t>deploy common law mechanisms, including that of legal personality, rather than giving expression to tikanga and Māori legal traditions.</w:t>
      </w:r>
      <w:bookmarkStart w:id="407" w:name="_Ref499150698"/>
      <w:r>
        <w:rPr>
          <w:rStyle w:val="FootnoteReference"/>
        </w:rPr>
        <w:footnoteReference w:id="123"/>
      </w:r>
      <w:bookmarkEnd w:id="407"/>
    </w:p>
    <w:p w:rsidR="00397914" w:rsidRDefault="00397914" w:rsidP="00397914">
      <w:pPr>
        <w:pStyle w:val="Heading4"/>
      </w:pPr>
      <w:r w:rsidRPr="00355DA5">
        <w:t>Dual language legislation</w:t>
      </w:r>
      <w:r>
        <w:t xml:space="preserve"> </w:t>
      </w:r>
    </w:p>
    <w:p w:rsidR="00397914" w:rsidRDefault="00397914" w:rsidP="00397914">
      <w:pPr>
        <w:pStyle w:val="Normaltext1"/>
      </w:pPr>
      <w:r>
        <w:t xml:space="preserve">My last topic concerns the first attempts in New Zealand to draft and enact law in both </w:t>
      </w:r>
      <w:r w:rsidRPr="00744328">
        <w:rPr>
          <w:i/>
        </w:rPr>
        <w:t xml:space="preserve">te reo Māori </w:t>
      </w:r>
      <w:r>
        <w:t>and English.</w:t>
      </w:r>
    </w:p>
    <w:p w:rsidR="00397914" w:rsidRDefault="00397914" w:rsidP="00397914">
      <w:pPr>
        <w:pStyle w:val="Normaltext1"/>
      </w:pPr>
      <w:r>
        <w:t>The first attempt to enact a dual language statute in New Zealand, certainly in recent years, was in 1987, in response to the report from the Waitangi Tribunal on the state of the Māori language.</w:t>
      </w:r>
      <w:r>
        <w:rPr>
          <w:rStyle w:val="FootnoteReference"/>
        </w:rPr>
        <w:footnoteReference w:id="124"/>
      </w:r>
      <w:r>
        <w:t xml:space="preserve"> A Bill was introduced for enactment in both Māori and English, the English version drafted by Parliamentary Counsel and the </w:t>
      </w:r>
      <w:r w:rsidRPr="00744328">
        <w:rPr>
          <w:i/>
        </w:rPr>
        <w:t>te reo</w:t>
      </w:r>
      <w:r>
        <w:t xml:space="preserve"> version by an independent translator working from the English draft. The Bill declared the Māori language to be an official language of New Zealand. It also set up the Māori Language Commission Te Taura Whiri I te Reo Māori, provided for Māori to be an alternative language in all the courts, and included an accreditation system for translators and interpreters. However, timely translation of amendments made during the progress of the Bill through the House proved difficult, so the Bill was enacted and received the Royal assent as a mono-lingual enactment. When the translation became available, the Attorney-General directed that it be appended to the Māori translation in the official printed copy of the Act, with a clear rubric as to its un-enacted status. And there the matter rested for 27 years. The Māori translation was not updated when the Act was amended, and because the Māori version was not enacted, it was not included on the Government’s legislation website when that went live in 2007.</w:t>
      </w:r>
    </w:p>
    <w:p w:rsidR="00397914" w:rsidRDefault="00397914" w:rsidP="00397914">
      <w:pPr>
        <w:pStyle w:val="Normaltext1"/>
      </w:pPr>
      <w:r>
        <w:t xml:space="preserve">The first dual language statute on our statute book is an Act to pardon a tribal member executed for the murder of a European in the 1860s. A 7-clause Bill, the Mokomoko (Restoration of Character, Mana, and Reputation) Bill, was introduced in English only in 2013. The translation of the Bill and its enactment as a dual language statute were requested when the descendants of Mokomoko came before the Māori Affairs select committee. The Ministry responsible for issuing instructions to the Parliamentary Counsel Office (PCO), </w:t>
      </w:r>
      <w:r w:rsidRPr="00744328">
        <w:rPr>
          <w:i/>
        </w:rPr>
        <w:t>Te Puni Kōkiri</w:t>
      </w:r>
      <w:r>
        <w:t>, facilitated the translation. The PCO publishing unit developed a workaround for the drafting tool so that the Bill could be structured with as much continuity as possible and still obey the rules for printing and publishing the output.</w:t>
      </w:r>
      <w:r>
        <w:rPr>
          <w:rStyle w:val="FootnoteReference"/>
        </w:rPr>
        <w:footnoteReference w:id="125"/>
      </w:r>
      <w:r>
        <w:t xml:space="preserve"> That Act laid the foundation for a more ambitious and fully operative dual language statute.</w:t>
      </w:r>
    </w:p>
    <w:p w:rsidR="00397914" w:rsidRDefault="00397914" w:rsidP="00397914">
      <w:pPr>
        <w:pStyle w:val="Normaltext1"/>
      </w:pPr>
      <w:r w:rsidRPr="00355DA5">
        <w:lastRenderedPageBreak/>
        <w:t xml:space="preserve">As part of </w:t>
      </w:r>
      <w:r>
        <w:t>a government policy</w:t>
      </w:r>
      <w:r w:rsidRPr="00355DA5">
        <w:t xml:space="preserve"> t</w:t>
      </w:r>
      <w:r>
        <w:t xml:space="preserve">o revitalise the language, a new Māori Language Bill was introduced not long before the 2014 general election. The Bill proposed new structural arrangements for Māori and government to work proactively to overcome the serious loss of fluency and use of </w:t>
      </w:r>
      <w:r w:rsidRPr="00744328">
        <w:rPr>
          <w:i/>
        </w:rPr>
        <w:t>te reo Māori</w:t>
      </w:r>
      <w:r>
        <w:t>, as revealed in the statistics from the most recent census.</w:t>
      </w:r>
      <w:r>
        <w:rPr>
          <w:rStyle w:val="FootnoteReference"/>
        </w:rPr>
        <w:footnoteReference w:id="126"/>
      </w:r>
      <w:r>
        <w:t xml:space="preserve"> It continued the official status of the language, and retained other operative elements of the earlier Act. Though one line in the Cabinet policy paper referred to a Māori version of the Bill, the time pressure meant that no further consideration was given to that matter. </w:t>
      </w:r>
    </w:p>
    <w:p w:rsidR="00397914" w:rsidRDefault="00397914" w:rsidP="00397914">
      <w:pPr>
        <w:pStyle w:val="Normaltext1"/>
      </w:pPr>
      <w:r>
        <w:t>Submitters to the Māori Affairs Select Committee criticised the Bill on policy grounds, and for its monolingual form. The committee was reminded of New Zealand’s international undertaking in ratifying the UN Declaration on the Rights of Indigenous Peoples (which declares, among other things, the rights of indigenous peoples to maintain and develop “their cultural heritage, traditional knowledge and traditional cultural expressions”.)</w:t>
      </w:r>
      <w:r>
        <w:rPr>
          <w:rStyle w:val="FootnoteReference"/>
        </w:rPr>
        <w:footnoteReference w:id="127"/>
      </w:r>
      <w:r>
        <w:t xml:space="preserve"> The committee directed </w:t>
      </w:r>
      <w:r w:rsidRPr="00744328">
        <w:rPr>
          <w:i/>
        </w:rPr>
        <w:t>Te Puni Kōkiri</w:t>
      </w:r>
      <w:r>
        <w:t xml:space="preserve"> to submit a translation. </w:t>
      </w:r>
    </w:p>
    <w:p w:rsidR="00397914" w:rsidRDefault="00397914" w:rsidP="00397914">
      <w:pPr>
        <w:pStyle w:val="Normaltext1"/>
      </w:pPr>
      <w:r>
        <w:t>Meanwhile, the new Minister for Māori Development set up an independent expert review of the Bill’s policy foundations.</w:t>
      </w:r>
      <w:r>
        <w:rPr>
          <w:rStyle w:val="FootnoteReference"/>
        </w:rPr>
        <w:footnoteReference w:id="128"/>
      </w:r>
      <w:r>
        <w:t xml:space="preserve"> The Minister supported translating the Bill into </w:t>
      </w:r>
      <w:r w:rsidRPr="00744328">
        <w:rPr>
          <w:i/>
        </w:rPr>
        <w:t>te reo Māori</w:t>
      </w:r>
      <w:r>
        <w:t xml:space="preserve"> and its enactment in dual language form, but required the Māori version to have priority over the English version in the event of an inconsistency.</w:t>
      </w:r>
      <w:r>
        <w:rPr>
          <w:rStyle w:val="FootnoteReference"/>
        </w:rPr>
        <w:footnoteReference w:id="129"/>
      </w:r>
      <w:r>
        <w:t xml:space="preserve"> The Bill, significantly amended as a result of the Advisory Group’s review, was approved in principle by the select committee. That amended version of the Bill was then submitted to a translator contracted for the purpose by </w:t>
      </w:r>
      <w:r w:rsidRPr="00744328">
        <w:rPr>
          <w:i/>
        </w:rPr>
        <w:t>Te Puni Kōkiri</w:t>
      </w:r>
      <w:r>
        <w:t>.</w:t>
      </w:r>
    </w:p>
    <w:p w:rsidR="00397914" w:rsidRDefault="00397914" w:rsidP="00397914">
      <w:pPr>
        <w:pStyle w:val="Normaltext1"/>
      </w:pPr>
      <w:r>
        <w:t xml:space="preserve">The PCO faced a dilemma. There was no person in PCO with the necessary expertise in </w:t>
      </w:r>
      <w:r w:rsidRPr="00397914">
        <w:rPr>
          <w:i/>
        </w:rPr>
        <w:t>te reo Māori</w:t>
      </w:r>
      <w:r>
        <w:t xml:space="preserve"> to undertake quality control over the translation, let alone be responsible for a translation. In a Bill having the potential for Crown legal risk, the increased possibility for ambiguity needed to be managed. In this instance, </w:t>
      </w:r>
      <w:r w:rsidRPr="00744328">
        <w:rPr>
          <w:i/>
        </w:rPr>
        <w:t>Te Puni Kōkiri</w:t>
      </w:r>
      <w:r>
        <w:t xml:space="preserve"> contracted a quality assurance group of 5 experts to monitor the accuracy and overall quality of the translation. All were accredited translators and two were lawyers. The translator was required to prepare a translation with “horizontal and vertical equivalence” to the English version, as far as the idioms of the language allow.</w:t>
      </w:r>
      <w:r>
        <w:rPr>
          <w:rStyle w:val="FootnoteReference"/>
        </w:rPr>
        <w:footnoteReference w:id="130"/>
      </w:r>
      <w:r>
        <w:t xml:space="preserve"> The role of the quality assurance team was to check the translation for accuracy against the English language text of the Bill. </w:t>
      </w:r>
    </w:p>
    <w:p w:rsidR="00397914" w:rsidRDefault="00397914" w:rsidP="00397914">
      <w:pPr>
        <w:pStyle w:val="Normaltext1"/>
      </w:pPr>
      <w:r>
        <w:lastRenderedPageBreak/>
        <w:t>Neither the translator nor the members of the quality assurance group had played any part in the drafting of the English version, and none had any previous experience working with legislation. The translator and quality assurance group had no direct contact with the drafters during the translation process. Working remotely from Wellington and relying on Internet contact with each other was not ideal. They also told us later that they found it difficult to accommodate the Māori language within the style of the English drafting. Clearly, we had missed an opportunity to provide a process in which there could be co-operation between the drafters and the translator.</w:t>
      </w:r>
      <w:r>
        <w:rPr>
          <w:rStyle w:val="FootnoteReference"/>
        </w:rPr>
        <w:footnoteReference w:id="131"/>
      </w:r>
    </w:p>
    <w:p w:rsidR="00397914" w:rsidRDefault="00397914" w:rsidP="00397914">
      <w:pPr>
        <w:pStyle w:val="Normaltext1"/>
      </w:pPr>
      <w:r>
        <w:t xml:space="preserve">The relatively limited vocabulary of </w:t>
      </w:r>
      <w:r w:rsidRPr="00744328">
        <w:rPr>
          <w:i/>
        </w:rPr>
        <w:t>te reo Māori</w:t>
      </w:r>
      <w:r>
        <w:t xml:space="preserve">  in the context of legislation created another hurdle, as did the translator’s preference for a form of </w:t>
      </w:r>
      <w:r w:rsidRPr="00744328">
        <w:rPr>
          <w:i/>
        </w:rPr>
        <w:t>te reo Māori</w:t>
      </w:r>
      <w:r>
        <w:t xml:space="preserve"> based on its old roots, rather than for the settler- and missionary-derived loan words and the vocabulary created by transliteration and calques that characterise much current usage.</w:t>
      </w:r>
      <w:r>
        <w:rPr>
          <w:rStyle w:val="FootnoteReference"/>
        </w:rPr>
        <w:footnoteReference w:id="132"/>
      </w:r>
      <w:r>
        <w:t xml:space="preserve"> It later emerged that the translator’s choice of style and vocabulary also created inconsistency with the language of Parliament’s translators and interpreters who provide a translation service to the Māori Affairs Select Committee to translate the Committee’s commentaries on Bills reported back to the House.</w:t>
      </w:r>
    </w:p>
    <w:p w:rsidR="00397914" w:rsidRDefault="00397914" w:rsidP="00397914">
      <w:pPr>
        <w:pStyle w:val="Normaltext1"/>
      </w:pPr>
      <w:r>
        <w:t>PCO has an internal audit process that includes peer review. Despite PCO’s own resources not extending to expertise in the Māori language, it was decided to arrange for an independent peer review of the translation. A person with qualifications approximating those of the jurilinguists working in the Canadian drafting environment provided the peer review, advising the drafters of possible sources of ambiguity and assisting with their resolution.</w:t>
      </w:r>
      <w:r>
        <w:rPr>
          <w:rStyle w:val="FootnoteReference"/>
        </w:rPr>
        <w:footnoteReference w:id="133"/>
      </w:r>
      <w:r>
        <w:t xml:space="preserve"> </w:t>
      </w:r>
    </w:p>
    <w:p w:rsidR="00397914" w:rsidRDefault="00397914" w:rsidP="00397914">
      <w:pPr>
        <w:pStyle w:val="Normaltext1"/>
      </w:pPr>
      <w:r>
        <w:t xml:space="preserve">The Minister’s requirement for an interpretation clause that expressly gives priority to the Māori text over the English removed our ability to rely on the jurisprudence from Canada, Wales, or Hong Kong, for example, to guide the interpretation of dual language legislation. Although New Zealand has declared </w:t>
      </w:r>
      <w:r w:rsidRPr="00744328">
        <w:rPr>
          <w:i/>
        </w:rPr>
        <w:t>te reo Māori</w:t>
      </w:r>
      <w:r>
        <w:t xml:space="preserve"> to be an “official” language, there is no constitutional recognition of the equality of the two relevant languages such as is found in </w:t>
      </w:r>
      <w:r>
        <w:lastRenderedPageBreak/>
        <w:t xml:space="preserve">the constitutional enactments of Canada and its provinces, Wales, and Hong Kong. The reviewer suggested that we consider including in the interpretation clause a requirement to take the English version into account in interpreting the Māori text. </w:t>
      </w:r>
    </w:p>
    <w:p w:rsidR="00397914" w:rsidRDefault="00397914" w:rsidP="00397914">
      <w:pPr>
        <w:pStyle w:val="Normaltext1"/>
      </w:pPr>
      <w:r>
        <w:t>In light of that advice, PCO proposed instead, and the Minister accepted, a general statement of the equality of the two language versions, so that the interpretation provision (in the English version) states:</w:t>
      </w:r>
    </w:p>
    <w:p w:rsidR="00397914" w:rsidRPr="004A2505" w:rsidRDefault="00397914" w:rsidP="00397914">
      <w:pPr>
        <w:pStyle w:val="Normaltext2"/>
        <w:numPr>
          <w:ilvl w:val="0"/>
          <w:numId w:val="33"/>
        </w:numPr>
      </w:pPr>
      <w:r w:rsidRPr="004A2505">
        <w:rPr>
          <w:shd w:val="clear" w:color="auto" w:fill="FFFFFF"/>
        </w:rPr>
        <w:t>The Māori and English versions of this Act are to be interpreted in a manner that best furthers the purpose of the Act and the principles set out in</w:t>
      </w:r>
      <w:r>
        <w:rPr>
          <w:shd w:val="clear" w:color="auto" w:fill="FFFFFF"/>
        </w:rPr>
        <w:t xml:space="preserve"> section 8</w:t>
      </w:r>
      <w:r w:rsidRPr="004A2505">
        <w:rPr>
          <w:shd w:val="clear" w:color="auto" w:fill="FFFFFF"/>
        </w:rPr>
        <w:t>.</w:t>
      </w:r>
    </w:p>
    <w:p w:rsidR="00397914" w:rsidRPr="004A2505" w:rsidRDefault="00397914" w:rsidP="00397914">
      <w:pPr>
        <w:pStyle w:val="Normaltext2"/>
        <w:numPr>
          <w:ilvl w:val="0"/>
          <w:numId w:val="33"/>
        </w:numPr>
      </w:pPr>
      <w:r w:rsidRPr="004A2505">
        <w:t>The Māori and English versions of this Act are of equal authority, but in the event of a conflict in meaning between the 2 versio</w:t>
      </w:r>
      <w:r>
        <w:t>ns, the Māori version prevails.</w:t>
      </w:r>
      <w:r>
        <w:rPr>
          <w:rStyle w:val="FootnoteReference"/>
        </w:rPr>
        <w:footnoteReference w:id="134"/>
      </w:r>
      <w:r w:rsidRPr="004A2505">
        <w:t xml:space="preserve"> </w:t>
      </w:r>
    </w:p>
    <w:p w:rsidR="00397914" w:rsidRDefault="00397914" w:rsidP="00397914">
      <w:pPr>
        <w:pStyle w:val="Normaltext1"/>
      </w:pPr>
      <w:r>
        <w:t>A further issue familiar in other jurisdictions is the challenge that arises where the legal traditions of the minority language have been lost. Welsh commentators note that as Welsh has not been the language of Welsh law for 500 years, the creation of standardised legal terminology in the Welsh language that is accessible to Welsh speakers presents a challenge, and a formal process of standardisation has been recommended.</w:t>
      </w:r>
      <w:r>
        <w:rPr>
          <w:rStyle w:val="FootnoteReference"/>
        </w:rPr>
        <w:footnoteReference w:id="135"/>
      </w:r>
      <w:r>
        <w:t xml:space="preserve"> </w:t>
      </w:r>
    </w:p>
    <w:p w:rsidR="00397914" w:rsidRDefault="00397914" w:rsidP="00397914">
      <w:pPr>
        <w:pStyle w:val="Normaltext1"/>
      </w:pPr>
      <w:r>
        <w:t>Māori legal scholars have expressed confidence that the Māori language has already got a corpus of legal language, asserting that “New Zealand’s legal history is bilingual”.</w:t>
      </w:r>
      <w:r>
        <w:rPr>
          <w:rStyle w:val="FootnoteReference"/>
        </w:rPr>
        <w:footnoteReference w:id="136"/>
      </w:r>
      <w:r>
        <w:t xml:space="preserve"> That statement is true to the extent that government officials, traders, journalists, and anyone else doing business in New Zealand, at least in the first 50 years of the colony, were dependent on understanding and using the Māori language (including developing a written form of the language). Vocabulary was developed by transliteration from English into a form of Māori (mainly by excluding consonants not known to Māori). That remains a common practice as new contexts are opened up, including those required for dual language legislation. </w:t>
      </w:r>
    </w:p>
    <w:p w:rsidR="00397914" w:rsidRDefault="00397914" w:rsidP="00397914">
      <w:pPr>
        <w:pStyle w:val="Normaltext1"/>
      </w:pPr>
      <w:r>
        <w:t xml:space="preserve">It is likely to take time to develop a statutory language that finds acceptance among Māori speakers and to compile a lexicon of legal language that can offer the same assistance to New Zealand drafters and translators as does the lexicon that Canadian drafters are able to </w:t>
      </w:r>
      <w:r>
        <w:lastRenderedPageBreak/>
        <w:t>draw on. It will be important to ensure that the development of a statutory language in Māori enhances the mana of the language and its speakers.</w:t>
      </w:r>
    </w:p>
    <w:p w:rsidR="00397914" w:rsidRPr="00D44A6E" w:rsidRDefault="00397914" w:rsidP="00397914">
      <w:pPr>
        <w:pStyle w:val="Heading3"/>
      </w:pPr>
      <w:bookmarkStart w:id="408" w:name="_Toc503170565"/>
      <w:bookmarkStart w:id="409" w:name="_Toc503290284"/>
      <w:bookmarkStart w:id="410" w:name="_Toc504579948"/>
      <w:r w:rsidRPr="00D44A6E">
        <w:t>Finally …</w:t>
      </w:r>
      <w:bookmarkEnd w:id="408"/>
      <w:bookmarkEnd w:id="409"/>
      <w:bookmarkEnd w:id="410"/>
    </w:p>
    <w:p w:rsidR="00397914" w:rsidRDefault="00397914" w:rsidP="00397914">
      <w:pPr>
        <w:pStyle w:val="Normaltext1"/>
      </w:pPr>
      <w:r>
        <w:t>In New Zealand the challenge remains to find appropriate ways to acknowledge in the law, elements of the indigenous culture in New Zealand as an aspect of our heritage as a colony.</w:t>
      </w:r>
    </w:p>
    <w:p w:rsidR="00397914" w:rsidRDefault="00397914" w:rsidP="00397914">
      <w:pPr>
        <w:pStyle w:val="Normaltext1"/>
      </w:pPr>
      <w:r>
        <w:t xml:space="preserve">Some of the mechanisms that have been applied in the New Zealand statute book risk being seen as aspirational or window dressing rather than an expression of </w:t>
      </w:r>
      <w:r w:rsidRPr="00744328">
        <w:rPr>
          <w:i/>
        </w:rPr>
        <w:t>tikanga Māori</w:t>
      </w:r>
      <w:r>
        <w:t xml:space="preserve"> as part of the law of New Zealand, given that the concepts are for the most part defined in English.</w:t>
      </w:r>
      <w:r>
        <w:rPr>
          <w:rStyle w:val="FootnoteReference"/>
        </w:rPr>
        <w:footnoteReference w:id="137"/>
      </w:r>
      <w:r>
        <w:t xml:space="preserve"> That is the viewpoint of a number of emerging Māori law scholars, who do not regard the Māori “trimmings” in legislation as matters of substance or as reflecting </w:t>
      </w:r>
      <w:r w:rsidRPr="00744328">
        <w:rPr>
          <w:i/>
        </w:rPr>
        <w:t>tikanga</w:t>
      </w:r>
      <w:r>
        <w:t xml:space="preserve"> in a meaningful way.</w:t>
      </w:r>
      <w:r w:rsidRPr="0047032A">
        <w:rPr>
          <w:rStyle w:val="FootnoteReference"/>
        </w:rPr>
        <w:t xml:space="preserve"> </w:t>
      </w:r>
      <w:r>
        <w:rPr>
          <w:rStyle w:val="FootnoteReference"/>
        </w:rPr>
        <w:footnoteReference w:id="138"/>
      </w:r>
      <w:r>
        <w:t xml:space="preserve"> </w:t>
      </w:r>
    </w:p>
    <w:p w:rsidR="00397914" w:rsidRDefault="00397914" w:rsidP="00397914">
      <w:pPr>
        <w:pStyle w:val="Normaltext1"/>
      </w:pPr>
      <w:r>
        <w:t xml:space="preserve">In my view, that is too simple a reaction to the statutory mechanisms being used to include the Māori perspective. Even though the use of the Māori words and phrases in legislation (or for that matter a dual language statute) may not, of itself, incorporate </w:t>
      </w:r>
      <w:r w:rsidRPr="00744328">
        <w:rPr>
          <w:i/>
        </w:rPr>
        <w:t>tikanga</w:t>
      </w:r>
      <w:r>
        <w:t xml:space="preserve"> into the law of New Zealand, the enactment of a statute with those elements has the potential to do so. Judicial intervention, as occurred in the case of the </w:t>
      </w:r>
      <w:r w:rsidRPr="00744328">
        <w:rPr>
          <w:i/>
        </w:rPr>
        <w:t>State-Owned Enterprises Act 1986</w:t>
      </w:r>
      <w:r>
        <w:t xml:space="preserve">, with its incorporation of the Treaty of Waitangi, caused a significant shift in Crown decision-making. The inclusion of the concepts of </w:t>
      </w:r>
      <w:r w:rsidRPr="000A6291">
        <w:rPr>
          <w:i/>
        </w:rPr>
        <w:t>kaitiakitanga</w:t>
      </w:r>
      <w:r>
        <w:rPr>
          <w:i/>
        </w:rPr>
        <w:t xml:space="preserve"> </w:t>
      </w:r>
      <w:r>
        <w:t xml:space="preserve">and </w:t>
      </w:r>
      <w:r w:rsidRPr="000A6291">
        <w:rPr>
          <w:i/>
        </w:rPr>
        <w:t>mauri</w:t>
      </w:r>
      <w:r>
        <w:t xml:space="preserve"> in statutes of general application in the management of natural resources has created obligations to ensure that Māori have a significant role as </w:t>
      </w:r>
      <w:r w:rsidRPr="00744328">
        <w:rPr>
          <w:i/>
        </w:rPr>
        <w:t>kaitiaki</w:t>
      </w:r>
      <w:r>
        <w:rPr>
          <w:i/>
        </w:rPr>
        <w:t xml:space="preserve">, </w:t>
      </w:r>
      <w:r>
        <w:t xml:space="preserve">and may well find expression in the incorporation of a substantive Māori perspective. </w:t>
      </w:r>
    </w:p>
    <w:p w:rsidR="00397914" w:rsidRDefault="00397914" w:rsidP="00397914">
      <w:pPr>
        <w:pStyle w:val="Normaltext1"/>
      </w:pPr>
      <w:r>
        <w:t>Where statutes use inclusive language, persons implementing the law, and the courts in interpreting it, need to take account of the cultural background implied by the language used.</w:t>
      </w:r>
    </w:p>
    <w:p w:rsidR="00397914" w:rsidRDefault="00397914" w:rsidP="00397914">
      <w:pPr>
        <w:pStyle w:val="Heading3"/>
      </w:pPr>
      <w:bookmarkStart w:id="411" w:name="_Toc503170566"/>
      <w:bookmarkStart w:id="412" w:name="_Toc503290285"/>
      <w:bookmarkStart w:id="413" w:name="_Toc504579949"/>
      <w:r>
        <w:t>G</w:t>
      </w:r>
      <w:r w:rsidRPr="000679E4">
        <w:t>lossary</w:t>
      </w:r>
      <w:r>
        <w:t xml:space="preserve"> of Māori terms</w:t>
      </w:r>
      <w:bookmarkEnd w:id="411"/>
      <w:bookmarkEnd w:id="412"/>
      <w:bookmarkEnd w:id="413"/>
    </w:p>
    <w:p w:rsidR="00397914" w:rsidRDefault="00397914" w:rsidP="00397914">
      <w:pPr>
        <w:pStyle w:val="Normaltext1"/>
      </w:pPr>
      <w:r w:rsidRPr="00744328">
        <w:rPr>
          <w:b/>
          <w:i/>
        </w:rPr>
        <w:t>hapū</w:t>
      </w:r>
      <w:r w:rsidRPr="00762A1B">
        <w:rPr>
          <w:b/>
        </w:rPr>
        <w:tab/>
      </w:r>
      <w:r>
        <w:tab/>
      </w:r>
      <w:r>
        <w:tab/>
      </w:r>
      <w:r w:rsidRPr="002302FC">
        <w:t>subtribe</w:t>
      </w:r>
    </w:p>
    <w:p w:rsidR="00397914" w:rsidRDefault="00397914" w:rsidP="00397914">
      <w:pPr>
        <w:pStyle w:val="Normaltext1"/>
      </w:pPr>
      <w:r w:rsidRPr="00744328">
        <w:rPr>
          <w:b/>
          <w:i/>
        </w:rPr>
        <w:t>hikoi</w:t>
      </w:r>
      <w:r w:rsidRPr="00762A1B">
        <w:rPr>
          <w:b/>
        </w:rPr>
        <w:tab/>
      </w:r>
      <w:r>
        <w:tab/>
      </w:r>
      <w:r>
        <w:tab/>
        <w:t>journey, march</w:t>
      </w:r>
    </w:p>
    <w:p w:rsidR="00397914" w:rsidRDefault="00397914" w:rsidP="00397914">
      <w:pPr>
        <w:pStyle w:val="Normaltext1"/>
        <w:tabs>
          <w:tab w:val="left" w:pos="2150"/>
        </w:tabs>
      </w:pPr>
      <w:r w:rsidRPr="00744328">
        <w:rPr>
          <w:b/>
          <w:i/>
        </w:rPr>
        <w:t>iwi</w:t>
      </w:r>
      <w:r>
        <w:tab/>
      </w:r>
      <w:r>
        <w:tab/>
      </w:r>
      <w:r>
        <w:tab/>
      </w:r>
      <w:r>
        <w:tab/>
        <w:t>tribe</w:t>
      </w:r>
    </w:p>
    <w:p w:rsidR="00397914" w:rsidRDefault="00397914" w:rsidP="00397914">
      <w:pPr>
        <w:pStyle w:val="Normaltext1"/>
      </w:pPr>
      <w:r w:rsidRPr="00744328">
        <w:rPr>
          <w:b/>
          <w:i/>
        </w:rPr>
        <w:t>kaitiaki</w:t>
      </w:r>
      <w:r>
        <w:tab/>
      </w:r>
      <w:r>
        <w:tab/>
        <w:t>guardian, guardians</w:t>
      </w:r>
    </w:p>
    <w:p w:rsidR="00397914" w:rsidRDefault="00397914" w:rsidP="00397914">
      <w:pPr>
        <w:pStyle w:val="Normaltext1"/>
      </w:pPr>
      <w:r w:rsidRPr="00744328">
        <w:rPr>
          <w:b/>
          <w:i/>
        </w:rPr>
        <w:t>kaitiakitanga</w:t>
      </w:r>
      <w:r>
        <w:tab/>
      </w:r>
      <w:r>
        <w:tab/>
        <w:t>guardianship</w:t>
      </w:r>
    </w:p>
    <w:p w:rsidR="00397914" w:rsidRPr="002302FC" w:rsidRDefault="00397914" w:rsidP="00397914">
      <w:pPr>
        <w:pStyle w:val="Normaltext1"/>
      </w:pPr>
      <w:r w:rsidRPr="00744328">
        <w:rPr>
          <w:b/>
          <w:i/>
        </w:rPr>
        <w:lastRenderedPageBreak/>
        <w:t>mahinga kai</w:t>
      </w:r>
      <w:r>
        <w:tab/>
      </w:r>
      <w:r>
        <w:tab/>
        <w:t>food gathering</w:t>
      </w:r>
    </w:p>
    <w:p w:rsidR="00397914" w:rsidRDefault="00397914" w:rsidP="00397914">
      <w:pPr>
        <w:pStyle w:val="Normaltext1"/>
      </w:pPr>
      <w:r w:rsidRPr="00744328">
        <w:rPr>
          <w:b/>
          <w:i/>
        </w:rPr>
        <w:t>mana</w:t>
      </w:r>
      <w:r>
        <w:tab/>
      </w:r>
      <w:r>
        <w:tab/>
      </w:r>
      <w:r>
        <w:tab/>
        <w:t>authority</w:t>
      </w:r>
    </w:p>
    <w:p w:rsidR="00397914" w:rsidRDefault="00397914" w:rsidP="00397914">
      <w:pPr>
        <w:pStyle w:val="Normaltext1"/>
      </w:pPr>
      <w:r w:rsidRPr="00744328">
        <w:rPr>
          <w:b/>
          <w:i/>
        </w:rPr>
        <w:t>mana whenau</w:t>
      </w:r>
      <w:r w:rsidRPr="00744328">
        <w:rPr>
          <w:i/>
        </w:rPr>
        <w:tab/>
      </w:r>
      <w:r>
        <w:tab/>
        <w:t>customary authority exercised in a particular place</w:t>
      </w:r>
    </w:p>
    <w:p w:rsidR="00397914" w:rsidRDefault="00397914" w:rsidP="00397914">
      <w:pPr>
        <w:pStyle w:val="Normaltext1"/>
      </w:pPr>
      <w:r w:rsidRPr="00744328">
        <w:rPr>
          <w:b/>
          <w:i/>
        </w:rPr>
        <w:t>mana motuhake</w:t>
      </w:r>
      <w:r>
        <w:tab/>
        <w:t>tribal authority or identity, self-determination</w:t>
      </w:r>
    </w:p>
    <w:p w:rsidR="00397914" w:rsidRPr="00D03A2E" w:rsidRDefault="00397914" w:rsidP="00397914">
      <w:pPr>
        <w:pStyle w:val="Normaltext1"/>
      </w:pPr>
      <w:r w:rsidRPr="00744328">
        <w:rPr>
          <w:b/>
          <w:i/>
        </w:rPr>
        <w:t>mauri</w:t>
      </w:r>
      <w:r w:rsidRPr="00744328">
        <w:rPr>
          <w:i/>
        </w:rPr>
        <w:tab/>
      </w:r>
      <w:r>
        <w:tab/>
      </w:r>
      <w:r>
        <w:tab/>
        <w:t>spirit, life force</w:t>
      </w:r>
    </w:p>
    <w:p w:rsidR="00397914" w:rsidRDefault="00397914" w:rsidP="00397914">
      <w:pPr>
        <w:pStyle w:val="Normaltext1"/>
      </w:pPr>
      <w:r w:rsidRPr="00744328">
        <w:rPr>
          <w:b/>
          <w:i/>
        </w:rPr>
        <w:t>oranga</w:t>
      </w:r>
      <w:r w:rsidRPr="00744328">
        <w:rPr>
          <w:i/>
        </w:rPr>
        <w:tab/>
      </w:r>
      <w:r>
        <w:tab/>
      </w:r>
      <w:r>
        <w:tab/>
        <w:t>health, welfare</w:t>
      </w:r>
    </w:p>
    <w:p w:rsidR="00397914" w:rsidRPr="00306BF6" w:rsidRDefault="00397914" w:rsidP="00397914">
      <w:pPr>
        <w:pStyle w:val="Normaltext1"/>
      </w:pPr>
      <w:r w:rsidRPr="00744328">
        <w:rPr>
          <w:b/>
          <w:i/>
        </w:rPr>
        <w:t>raupatu</w:t>
      </w:r>
      <w:r w:rsidRPr="00762A1B">
        <w:rPr>
          <w:b/>
        </w:rPr>
        <w:tab/>
      </w:r>
      <w:r>
        <w:tab/>
        <w:t>confiscation</w:t>
      </w:r>
    </w:p>
    <w:p w:rsidR="00397914" w:rsidRDefault="00397914" w:rsidP="00397914">
      <w:pPr>
        <w:pStyle w:val="Normaltext1"/>
      </w:pPr>
      <w:r w:rsidRPr="00744328">
        <w:rPr>
          <w:i/>
        </w:rPr>
        <w:t>t</w:t>
      </w:r>
      <w:r w:rsidRPr="00744328">
        <w:rPr>
          <w:b/>
          <w:i/>
        </w:rPr>
        <w:t>amaiti</w:t>
      </w:r>
      <w:r w:rsidRPr="00744328">
        <w:rPr>
          <w:i/>
        </w:rPr>
        <w:tab/>
      </w:r>
      <w:r>
        <w:tab/>
      </w:r>
      <w:r>
        <w:tab/>
        <w:t>child</w:t>
      </w:r>
    </w:p>
    <w:p w:rsidR="00397914" w:rsidRPr="002302FC" w:rsidRDefault="00397914" w:rsidP="00397914">
      <w:pPr>
        <w:pStyle w:val="Normaltext1"/>
      </w:pPr>
      <w:r w:rsidRPr="00744328">
        <w:rPr>
          <w:b/>
          <w:i/>
        </w:rPr>
        <w:t>tamariki</w:t>
      </w:r>
      <w:r>
        <w:tab/>
      </w:r>
      <w:r>
        <w:tab/>
        <w:t>children</w:t>
      </w:r>
    </w:p>
    <w:p w:rsidR="00397914" w:rsidRDefault="00397914" w:rsidP="00397914">
      <w:pPr>
        <w:pStyle w:val="Normaltext1"/>
      </w:pPr>
      <w:r w:rsidRPr="00744328">
        <w:rPr>
          <w:b/>
          <w:i/>
        </w:rPr>
        <w:t>tangata whenua</w:t>
      </w:r>
      <w:r>
        <w:tab/>
        <w:t>the Māori people of an area</w:t>
      </w:r>
    </w:p>
    <w:p w:rsidR="00397914" w:rsidRDefault="00397914" w:rsidP="00397914">
      <w:pPr>
        <w:pStyle w:val="Normaltext1"/>
      </w:pPr>
      <w:r w:rsidRPr="00744328">
        <w:rPr>
          <w:b/>
          <w:i/>
        </w:rPr>
        <w:t>taonga</w:t>
      </w:r>
      <w:r w:rsidRPr="00762A1B">
        <w:rPr>
          <w:b/>
        </w:rPr>
        <w:tab/>
      </w:r>
      <w:r>
        <w:tab/>
      </w:r>
      <w:r>
        <w:tab/>
        <w:t>treasures, both material things and non-material</w:t>
      </w:r>
    </w:p>
    <w:p w:rsidR="00397914" w:rsidRPr="00BC6960" w:rsidRDefault="00397914" w:rsidP="00397914">
      <w:pPr>
        <w:pStyle w:val="Normaltext1"/>
      </w:pPr>
      <w:r w:rsidRPr="00744328">
        <w:rPr>
          <w:b/>
          <w:i/>
        </w:rPr>
        <w:t>tapu</w:t>
      </w:r>
      <w:r>
        <w:tab/>
      </w:r>
      <w:r>
        <w:tab/>
      </w:r>
      <w:r>
        <w:tab/>
      </w:r>
      <w:r>
        <w:tab/>
        <w:t>sacred</w:t>
      </w:r>
    </w:p>
    <w:p w:rsidR="00397914" w:rsidRDefault="00397914" w:rsidP="00397914">
      <w:pPr>
        <w:pStyle w:val="Normaltext1"/>
      </w:pPr>
      <w:r w:rsidRPr="00744328">
        <w:rPr>
          <w:b/>
          <w:i/>
        </w:rPr>
        <w:t>te ao Māori</w:t>
      </w:r>
      <w:r w:rsidRPr="00762A1B">
        <w:rPr>
          <w:b/>
        </w:rPr>
        <w:tab/>
      </w:r>
      <w:r>
        <w:tab/>
        <w:t>the Māori world</w:t>
      </w:r>
    </w:p>
    <w:p w:rsidR="00397914" w:rsidRPr="00A77ECC" w:rsidRDefault="00397914" w:rsidP="00397914">
      <w:pPr>
        <w:pStyle w:val="Normaltext1"/>
      </w:pPr>
      <w:r w:rsidRPr="00744328">
        <w:rPr>
          <w:b/>
          <w:i/>
        </w:rPr>
        <w:t>te Puni Kōkiri</w:t>
      </w:r>
      <w:r>
        <w:tab/>
      </w:r>
      <w:r>
        <w:tab/>
        <w:t>the Ministry of Māori Development</w:t>
      </w:r>
    </w:p>
    <w:p w:rsidR="00397914" w:rsidRDefault="00397914" w:rsidP="00397914">
      <w:pPr>
        <w:pStyle w:val="Normaltext1"/>
      </w:pPr>
      <w:r w:rsidRPr="00744328">
        <w:rPr>
          <w:b/>
          <w:i/>
        </w:rPr>
        <w:t>te reo Māori</w:t>
      </w:r>
      <w:r>
        <w:tab/>
      </w:r>
      <w:r>
        <w:tab/>
        <w:t>the Māori language</w:t>
      </w:r>
    </w:p>
    <w:p w:rsidR="00397914" w:rsidRDefault="00397914" w:rsidP="00397914">
      <w:pPr>
        <w:pStyle w:val="Normaltext1"/>
      </w:pPr>
      <w:r w:rsidRPr="00744328">
        <w:rPr>
          <w:b/>
          <w:i/>
        </w:rPr>
        <w:t>tikanga Māori</w:t>
      </w:r>
      <w:r>
        <w:tab/>
      </w:r>
      <w:r>
        <w:tab/>
        <w:t xml:space="preserve">Māori customary system of beliefs or values and practices that are </w:t>
      </w:r>
      <w:r>
        <w:tab/>
      </w:r>
      <w:r>
        <w:tab/>
      </w:r>
      <w:r>
        <w:tab/>
      </w:r>
      <w:r>
        <w:tab/>
      </w:r>
      <w:r>
        <w:tab/>
        <w:t>deeply embedded in the social context</w:t>
      </w:r>
    </w:p>
    <w:p w:rsidR="00397914" w:rsidRDefault="00397914" w:rsidP="00397914">
      <w:pPr>
        <w:pStyle w:val="Normaltext1"/>
      </w:pPr>
      <w:r w:rsidRPr="00744328">
        <w:rPr>
          <w:b/>
          <w:i/>
        </w:rPr>
        <w:t>tohunga</w:t>
      </w:r>
      <w:r>
        <w:tab/>
      </w:r>
      <w:r>
        <w:tab/>
        <w:t>traditional healer</w:t>
      </w:r>
    </w:p>
    <w:p w:rsidR="00397914" w:rsidRDefault="00397914" w:rsidP="00397914">
      <w:pPr>
        <w:pStyle w:val="Normaltext1"/>
      </w:pPr>
      <w:r w:rsidRPr="00744328">
        <w:rPr>
          <w:b/>
          <w:i/>
        </w:rPr>
        <w:t>tupuna, tūpuna</w:t>
      </w:r>
      <w:r>
        <w:tab/>
        <w:t>ancestor, ancestors</w:t>
      </w:r>
    </w:p>
    <w:p w:rsidR="00397914" w:rsidRDefault="00397914" w:rsidP="00397914">
      <w:pPr>
        <w:pStyle w:val="Normaltext1"/>
      </w:pPr>
      <w:r w:rsidRPr="00744328">
        <w:rPr>
          <w:b/>
          <w:i/>
        </w:rPr>
        <w:t>utu</w:t>
      </w:r>
      <w:r>
        <w:tab/>
      </w:r>
      <w:r>
        <w:tab/>
      </w:r>
      <w:r>
        <w:tab/>
      </w:r>
      <w:r>
        <w:tab/>
        <w:t>recompense, repayment, reciprocity</w:t>
      </w:r>
    </w:p>
    <w:p w:rsidR="00397914" w:rsidRDefault="00397914" w:rsidP="00397914">
      <w:pPr>
        <w:pStyle w:val="Normaltext1"/>
      </w:pPr>
      <w:r w:rsidRPr="00744328">
        <w:rPr>
          <w:b/>
          <w:i/>
        </w:rPr>
        <w:t>wāhi tapu</w:t>
      </w:r>
      <w:r>
        <w:tab/>
      </w:r>
      <w:r>
        <w:tab/>
        <w:t>sacred place</w:t>
      </w:r>
    </w:p>
    <w:p w:rsidR="00397914" w:rsidRDefault="00397914" w:rsidP="00397914">
      <w:pPr>
        <w:pStyle w:val="Normaltext1"/>
      </w:pPr>
      <w:r w:rsidRPr="00744328">
        <w:rPr>
          <w:b/>
          <w:i/>
        </w:rPr>
        <w:t>wāhi tūpuna</w:t>
      </w:r>
      <w:r>
        <w:tab/>
      </w:r>
      <w:r>
        <w:tab/>
        <w:t>place of ancestral significance</w:t>
      </w:r>
    </w:p>
    <w:p w:rsidR="00397914" w:rsidRDefault="00397914" w:rsidP="00397914">
      <w:pPr>
        <w:pStyle w:val="Normaltext1"/>
      </w:pPr>
      <w:r w:rsidRPr="00744328">
        <w:rPr>
          <w:b/>
          <w:i/>
        </w:rPr>
        <w:t>whakapapa</w:t>
      </w:r>
      <w:r>
        <w:tab/>
      </w:r>
      <w:r>
        <w:tab/>
        <w:t>descent, lineage</w:t>
      </w:r>
    </w:p>
    <w:p w:rsidR="00397914" w:rsidRDefault="00397914" w:rsidP="00397914">
      <w:pPr>
        <w:pStyle w:val="Normaltext1"/>
      </w:pPr>
      <w:r w:rsidRPr="00744328">
        <w:rPr>
          <w:b/>
          <w:i/>
        </w:rPr>
        <w:t>whānau</w:t>
      </w:r>
      <w:r>
        <w:tab/>
      </w:r>
      <w:r>
        <w:tab/>
        <w:t>family</w:t>
      </w:r>
    </w:p>
    <w:p w:rsidR="00397914" w:rsidRPr="00762A1B" w:rsidRDefault="00397914" w:rsidP="00397914">
      <w:pPr>
        <w:pStyle w:val="Normaltext1"/>
        <w:rPr>
          <w:b/>
        </w:rPr>
      </w:pPr>
      <w:r w:rsidRPr="00744328">
        <w:rPr>
          <w:b/>
          <w:i/>
        </w:rPr>
        <w:t>whanaungatanga</w:t>
      </w:r>
      <w:r>
        <w:rPr>
          <w:b/>
        </w:rPr>
        <w:tab/>
      </w:r>
      <w:r>
        <w:t>kinship</w:t>
      </w:r>
      <w:r>
        <w:rPr>
          <w:b/>
        </w:rPr>
        <w:tab/>
      </w:r>
    </w:p>
    <w:p w:rsidR="00E918F2" w:rsidRPr="00A56FFF" w:rsidRDefault="00E918F2" w:rsidP="00397914">
      <w:pPr>
        <w:pStyle w:val="Heading3"/>
        <w:sectPr w:rsidR="00E918F2" w:rsidRPr="00A56FFF" w:rsidSect="00ED7DD0">
          <w:headerReference w:type="default" r:id="rId35"/>
          <w:footnotePr>
            <w:numRestart w:val="eachSect"/>
          </w:footnotePr>
          <w:pgSz w:w="12240" w:h="15840"/>
          <w:pgMar w:top="1440" w:right="1440" w:bottom="1440" w:left="1440" w:header="720" w:footer="720" w:gutter="0"/>
          <w:cols w:space="720"/>
          <w:titlePg/>
          <w:docGrid w:linePitch="360"/>
        </w:sectPr>
      </w:pPr>
      <w:bookmarkStart w:id="414" w:name="_Toc503170567"/>
      <w:bookmarkStart w:id="415" w:name="_Toc503290286"/>
      <w:bookmarkStart w:id="416" w:name="_Toc504579950"/>
      <w:r w:rsidRPr="00F350C7">
        <w:t>_________</w:t>
      </w:r>
      <w:r>
        <w:t>_____________________________</w:t>
      </w:r>
      <w:bookmarkEnd w:id="414"/>
      <w:bookmarkEnd w:id="415"/>
      <w:bookmarkEnd w:id="416"/>
    </w:p>
    <w:bookmarkEnd w:id="217"/>
    <w:bookmarkEnd w:id="218"/>
    <w:bookmarkEnd w:id="234"/>
    <w:p w:rsidR="007C2E34" w:rsidRPr="006A1D75" w:rsidRDefault="007C2E34" w:rsidP="003D0C7C">
      <w:pPr>
        <w:pStyle w:val="Heading1"/>
        <w:jc w:val="left"/>
      </w:pPr>
    </w:p>
    <w:sectPr w:rsidR="007C2E34" w:rsidRPr="006A1D75" w:rsidSect="00ED7DD0">
      <w:headerReference w:type="default" r:id="rId36"/>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D1E" w:rsidRDefault="00D22D1E" w:rsidP="007C6A4E">
      <w:pPr>
        <w:spacing w:before="0" w:after="0"/>
      </w:pPr>
      <w:r>
        <w:separator/>
      </w:r>
    </w:p>
  </w:endnote>
  <w:endnote w:type="continuationSeparator" w:id="0">
    <w:p w:rsidR="00D22D1E" w:rsidRDefault="00D22D1E"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4D"/>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Lucida Sans">
    <w:charset w:val="00"/>
    <w:family w:val="swiss"/>
    <w:pitch w:val="variable"/>
    <w:sig w:usb0="00000003" w:usb1="00000000" w:usb2="00000000" w:usb3="00000000" w:csb0="00000001" w:csb1="00000000"/>
  </w:font>
  <w:font w:name="NewCenturySchlb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777530" w:rsidRDefault="004F3A38" w:rsidP="009F407B">
    <w:pPr>
      <w:pStyle w:val="Normaltext1"/>
    </w:pPr>
  </w:p>
  <w:p w:rsidR="004F3A38" w:rsidRDefault="004F3A38" w:rsidP="009F407B">
    <w:pPr>
      <w:pStyle w:val="Normaltext1"/>
    </w:pPr>
    <w:r>
      <w:t xml:space="preserve">Page </w:t>
    </w:r>
    <w:r w:rsidRPr="00777530">
      <w:fldChar w:fldCharType="begin"/>
    </w:r>
    <w:r w:rsidRPr="00777530">
      <w:instrText xml:space="preserve"> PAGE   \* MERGEFORMAT </w:instrText>
    </w:r>
    <w:r w:rsidRPr="00777530">
      <w:fldChar w:fldCharType="separate"/>
    </w:r>
    <w:r w:rsidR="00D10211">
      <w:rPr>
        <w:noProof/>
      </w:rPr>
      <w:t>73</w:t>
    </w:r>
    <w:r w:rsidRPr="00777530">
      <w:fldChar w:fldCharType="end"/>
    </w:r>
  </w:p>
  <w:p w:rsidR="004F3A38" w:rsidRDefault="004F3A38" w:rsidP="009F407B">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D1E" w:rsidRDefault="00D22D1E" w:rsidP="007C6A4E">
      <w:pPr>
        <w:spacing w:before="0" w:after="0"/>
      </w:pPr>
      <w:r>
        <w:separator/>
      </w:r>
    </w:p>
  </w:footnote>
  <w:footnote w:type="continuationSeparator" w:id="0">
    <w:p w:rsidR="00D22D1E" w:rsidRDefault="00D22D1E" w:rsidP="007C6A4E">
      <w:pPr>
        <w:spacing w:before="0" w:after="0"/>
      </w:pPr>
      <w:r>
        <w:continuationSeparator/>
      </w:r>
    </w:p>
  </w:footnote>
  <w:footnote w:id="1">
    <w:p w:rsidR="004F3A38" w:rsidRDefault="004F3A38" w:rsidP="00EF4EC1">
      <w:pPr>
        <w:pStyle w:val="footnote"/>
      </w:pPr>
      <w:r>
        <w:rPr>
          <w:rStyle w:val="FootnoteReference"/>
        </w:rPr>
        <w:footnoteRef/>
      </w:r>
      <w:r>
        <w:t>Parliamentary Counsel, Parliamentary Counsel Office, New Zealand</w:t>
      </w:r>
      <w:r>
        <w:rPr>
          <w:szCs w:val="18"/>
        </w:rPr>
        <w:t>.</w:t>
      </w:r>
    </w:p>
  </w:footnote>
  <w:footnote w:id="2">
    <w:p w:rsidR="004F3A38" w:rsidRPr="00474427" w:rsidRDefault="004F3A38" w:rsidP="00AB02E4">
      <w:pPr>
        <w:pStyle w:val="footnote"/>
        <w:rPr>
          <w:lang w:val="en-CA"/>
        </w:rPr>
      </w:pPr>
      <w:r w:rsidRPr="00474427">
        <w:rPr>
          <w:rStyle w:val="FootnoteReference"/>
        </w:rPr>
        <w:footnoteRef/>
      </w:r>
      <w:r w:rsidRPr="00474427">
        <w:t xml:space="preserve"> </w:t>
      </w:r>
      <w:r w:rsidRPr="007116F8">
        <w:t>Professor for Constitutional Law, Administrative Law and Legislative Studies, University of Zurich, Switzerland</w:t>
      </w:r>
      <w:r>
        <w:t>.</w:t>
      </w:r>
    </w:p>
  </w:footnote>
  <w:footnote w:id="3">
    <w:p w:rsidR="004F3A38" w:rsidRDefault="004F3A38" w:rsidP="00AB02E4">
      <w:pPr>
        <w:pStyle w:val="footnote"/>
      </w:pPr>
      <w:r w:rsidRPr="00474427">
        <w:rPr>
          <w:bCs/>
          <w:iCs/>
          <w:sz w:val="20"/>
          <w:szCs w:val="20"/>
          <w:vertAlign w:val="superscript"/>
        </w:rPr>
        <w:footnoteRef/>
      </w:r>
      <w:r w:rsidRPr="00474427">
        <w:rPr>
          <w:rFonts w:eastAsia="Arial Unicode MS" w:hAnsi="Arial Unicode MS" w:cs="Arial Unicode MS"/>
        </w:rPr>
        <w:t xml:space="preserve"> </w:t>
      </w:r>
      <w:r w:rsidRPr="007116F8">
        <w:rPr>
          <w:rFonts w:eastAsia="Arial Unicode MS" w:hAnsi="Arial Unicode MS" w:cs="Arial Unicode MS"/>
        </w:rPr>
        <w:t>Senior Research Fellow, Centre for Legislative Studies, University of Zurich, Switzerland</w:t>
      </w:r>
      <w:r>
        <w:rPr>
          <w:rFonts w:eastAsia="Arial Unicode MS" w:hAnsi="Arial Unicode MS" w:cs="Arial Unicode MS"/>
        </w:rPr>
        <w:t>.</w:t>
      </w:r>
    </w:p>
  </w:footnote>
  <w:footnote w:id="4">
    <w:p w:rsidR="004F3A38" w:rsidRDefault="004F3A38" w:rsidP="00AB02E4">
      <w:pPr>
        <w:pStyle w:val="footnote"/>
      </w:pPr>
      <w:r>
        <w:rPr>
          <w:rStyle w:val="FootnoteReference"/>
        </w:rPr>
        <w:footnoteRef/>
      </w:r>
      <w:r>
        <w:t xml:space="preserve"> Article 70(1) BV (</w:t>
      </w:r>
      <w:r w:rsidRPr="00A94852">
        <w:t>Bundesverfassung der Schweizerischen Eidgenossenschaft</w:t>
      </w:r>
      <w:r w:rsidRPr="0036373F">
        <w:t xml:space="preserve"> of 18 </w:t>
      </w:r>
      <w:r w:rsidRPr="0036373F">
        <w:rPr>
          <w:lang w:val="de-DE"/>
        </w:rPr>
        <w:t>April 1999, SR 101 – Federal Constitution of the Swiss Confederation</w:t>
      </w:r>
      <w:r>
        <w:rPr>
          <w:lang w:val="de-DE"/>
        </w:rPr>
        <w:t>).</w:t>
      </w:r>
    </w:p>
  </w:footnote>
  <w:footnote w:id="5">
    <w:p w:rsidR="004F3A38" w:rsidRDefault="004F3A38" w:rsidP="00AB02E4">
      <w:pPr>
        <w:pStyle w:val="footnote"/>
      </w:pPr>
      <w:r>
        <w:rPr>
          <w:rStyle w:val="FootnoteReference"/>
        </w:rPr>
        <w:footnoteRef/>
      </w:r>
      <w:r>
        <w:t xml:space="preserve"> Article 70(1) BV (</w:t>
      </w:r>
      <w:r w:rsidRPr="00A94852">
        <w:t>Bundesverfassung der Schweizerischen Eidgenossenschaft</w:t>
      </w:r>
      <w:r w:rsidRPr="0036373F">
        <w:t xml:space="preserve"> of 18 </w:t>
      </w:r>
      <w:r w:rsidRPr="0036373F">
        <w:rPr>
          <w:lang w:val="de-DE"/>
        </w:rPr>
        <w:t>April 1999, SR 101 – Federal Constitution of the Swiss Confederation</w:t>
      </w:r>
      <w:r>
        <w:rPr>
          <w:lang w:val="de-DE"/>
        </w:rPr>
        <w:t>).</w:t>
      </w:r>
    </w:p>
  </w:footnote>
  <w:footnote w:id="6">
    <w:p w:rsidR="004F3A38" w:rsidRDefault="004F3A38" w:rsidP="00AB02E4">
      <w:pPr>
        <w:pStyle w:val="footnote"/>
      </w:pPr>
      <w:r>
        <w:rPr>
          <w:rStyle w:val="FootnoteReference"/>
        </w:rPr>
        <w:footnoteRef/>
      </w:r>
      <w:r>
        <w:t xml:space="preserve"> Article 14(1) PublG (</w:t>
      </w:r>
      <w:r w:rsidRPr="00A94852">
        <w:t>Bundesgesetz über die Sammlungen des Bundesrechts und das Bundesblatt</w:t>
      </w:r>
      <w:r>
        <w:t xml:space="preserve"> of 18 June 2004, Publikationsgesetz, SR 170.512 </w:t>
      </w:r>
      <w:r w:rsidRPr="0036373F">
        <w:rPr>
          <w:lang w:val="de-DE"/>
        </w:rPr>
        <w:t>–</w:t>
      </w:r>
      <w:r>
        <w:t xml:space="preserve"> </w:t>
      </w:r>
      <w:r w:rsidRPr="00F37676">
        <w:t>Federal Act on the Compilations of Federal Legislation and the Federal Gazette</w:t>
      </w:r>
      <w:r>
        <w:t>, Publications Act).</w:t>
      </w:r>
    </w:p>
  </w:footnote>
  <w:footnote w:id="7">
    <w:p w:rsidR="004F3A38" w:rsidRDefault="004F3A38" w:rsidP="00AB02E4">
      <w:pPr>
        <w:pStyle w:val="footnote"/>
      </w:pPr>
      <w:r>
        <w:rPr>
          <w:rStyle w:val="FootnoteReference"/>
        </w:rPr>
        <w:footnoteRef/>
      </w:r>
      <w:r>
        <w:t xml:space="preserve"> Article 6 KV/Bern (</w:t>
      </w:r>
      <w:r w:rsidRPr="00A94852">
        <w:t>Verfassung des Kantons Bern</w:t>
      </w:r>
      <w:r>
        <w:t xml:space="preserve"> of 6 June 1993, SR 131.212 </w:t>
      </w:r>
      <w:r w:rsidRPr="0036373F">
        <w:rPr>
          <w:lang w:val="de-DE"/>
        </w:rPr>
        <w:t>–</w:t>
      </w:r>
      <w:r>
        <w:rPr>
          <w:lang w:val="de-DE"/>
        </w:rPr>
        <w:t xml:space="preserve"> Constitution of the canton of Berne), Article 6 KV/Freiburg (</w:t>
      </w:r>
      <w:r w:rsidRPr="00A94852">
        <w:rPr>
          <w:lang w:val="de-DE"/>
        </w:rPr>
        <w:t>Verfassung des Kantons Freiburg</w:t>
      </w:r>
      <w:r>
        <w:rPr>
          <w:lang w:val="de-DE"/>
        </w:rPr>
        <w:t xml:space="preserve"> of 16 May 2004, SR 131.219 </w:t>
      </w:r>
      <w:r w:rsidRPr="0036373F">
        <w:rPr>
          <w:lang w:val="de-DE"/>
        </w:rPr>
        <w:t>–</w:t>
      </w:r>
      <w:r>
        <w:rPr>
          <w:lang w:val="de-DE"/>
        </w:rPr>
        <w:t xml:space="preserve"> Constitution of the canton of Fribourg), Article 3 KV/Graubünden (</w:t>
      </w:r>
      <w:r w:rsidRPr="00A94852">
        <w:rPr>
          <w:lang w:val="de-DE"/>
        </w:rPr>
        <w:t>Verfassung des Kantons Graubünden</w:t>
      </w:r>
      <w:r w:rsidRPr="008F4803">
        <w:rPr>
          <w:lang w:val="de-DE"/>
        </w:rPr>
        <w:t xml:space="preserve"> </w:t>
      </w:r>
      <w:r>
        <w:rPr>
          <w:lang w:val="de-DE"/>
        </w:rPr>
        <w:t xml:space="preserve">of 18 May/14 September 2003, SR 131.226 </w:t>
      </w:r>
      <w:r w:rsidRPr="0036373F">
        <w:rPr>
          <w:lang w:val="de-DE"/>
        </w:rPr>
        <w:t>–</w:t>
      </w:r>
      <w:r>
        <w:rPr>
          <w:lang w:val="de-DE"/>
        </w:rPr>
        <w:t xml:space="preserve"> Constitution of the canton of Grisons), Article 12 KV/Wallis (</w:t>
      </w:r>
      <w:r w:rsidRPr="00A94852">
        <w:rPr>
          <w:lang w:val="de-DE"/>
        </w:rPr>
        <w:t>V</w:t>
      </w:r>
      <w:r w:rsidRPr="008F4803">
        <w:rPr>
          <w:lang w:val="de-DE"/>
        </w:rPr>
        <w:t>erfassung des Kantons Wallis</w:t>
      </w:r>
      <w:r>
        <w:rPr>
          <w:lang w:val="de-DE"/>
        </w:rPr>
        <w:t xml:space="preserve"> of 8 March 1907, SR 131.232 </w:t>
      </w:r>
      <w:r w:rsidRPr="0036373F">
        <w:rPr>
          <w:lang w:val="de-DE"/>
        </w:rPr>
        <w:t>–</w:t>
      </w:r>
      <w:r>
        <w:rPr>
          <w:lang w:val="de-DE"/>
        </w:rPr>
        <w:t xml:space="preserve"> Constitution of the canton of Valais).</w:t>
      </w:r>
    </w:p>
  </w:footnote>
  <w:footnote w:id="8">
    <w:p w:rsidR="004F3A38" w:rsidRPr="00F352A5" w:rsidRDefault="004F3A38" w:rsidP="00AB02E4">
      <w:pPr>
        <w:pStyle w:val="footnote"/>
      </w:pPr>
      <w:r>
        <w:rPr>
          <w:rStyle w:val="FootnoteReference"/>
        </w:rPr>
        <w:footnoteRef/>
      </w:r>
      <w:r w:rsidRPr="00F352A5">
        <w:t xml:space="preserve"> For the legal status of Romansh in the Federal Constitution see </w:t>
      </w:r>
      <w:r w:rsidRPr="00F352A5">
        <w:rPr>
          <w:smallCaps/>
        </w:rPr>
        <w:t>François Aubert/Pascal Mahon</w:t>
      </w:r>
      <w:r w:rsidRPr="00F352A5">
        <w:t xml:space="preserve">, Petit commentaire de la Constitution fédérale de la Confédération suisse du 18 avril 1999, Schulthess, Zurich/Basel/Geneva, 2003, Article 70 comment 2-8; </w:t>
      </w:r>
      <w:r w:rsidRPr="00F352A5">
        <w:rPr>
          <w:smallCaps/>
        </w:rPr>
        <w:t>Eva Maria Belser/Bernhard Waldmann</w:t>
      </w:r>
      <w:r w:rsidRPr="00F352A5">
        <w:t xml:space="preserve">, in Bernhard Waldmann/Eva Maria Belser/Astrid Epiney (eds.), Bundesverfassung, Basler Kommentar, Helbing Lichtenhahn, Basel, 2015, Article 70 comment 17-24; </w:t>
      </w:r>
      <w:r w:rsidRPr="00F352A5">
        <w:rPr>
          <w:smallCaps/>
        </w:rPr>
        <w:t>Giovanni Biaggini</w:t>
      </w:r>
      <w:r w:rsidRPr="00F352A5">
        <w:t xml:space="preserve">, Bundesverfassung der Schweizerischen Eidgenossenschaft, Kommentar, Orell Füssli, Zurich, 2007, Article 70 comment 3-8; </w:t>
      </w:r>
      <w:r w:rsidRPr="00F352A5">
        <w:rPr>
          <w:smallCaps/>
        </w:rPr>
        <w:t>Regula Kägi-Diener</w:t>
      </w:r>
      <w:r w:rsidRPr="00F352A5">
        <w:t xml:space="preserve">, in Bernhard Ehrenzeller/Benjamin Schindler/Rainer J. Schweizer/Klaus A. Vallender (eds.), Die schweizerische Bundesverfassung, St. Galler Kommentar, Schulthess/Dike, Zurich/Basel/Geneva/St. Gallen, 2014, Article 70 comment 17-26; </w:t>
      </w:r>
      <w:r w:rsidRPr="00F352A5">
        <w:rPr>
          <w:smallCaps/>
        </w:rPr>
        <w:t>Rainer J. Schweizer/Jérôme Baumann/Jan Scheffler</w:t>
      </w:r>
      <w:r w:rsidRPr="00F352A5">
        <w:t>, Grundlagen und Verfahren der mehrsprachigen Rechtsetzung im Bund, in Rainer J. Schweizer/Marco Borghi (eds.), Mehrsprachige Gesetzgebung in der Schweiz, Dike, Zurich/St. Gallen, 2011, p. 19 f.</w:t>
      </w:r>
    </w:p>
  </w:footnote>
  <w:footnote w:id="9">
    <w:p w:rsidR="004F3A38" w:rsidRPr="00FD61ED" w:rsidRDefault="004F3A38" w:rsidP="00AB02E4">
      <w:pPr>
        <w:pStyle w:val="footnote"/>
      </w:pPr>
      <w:r>
        <w:rPr>
          <w:rStyle w:val="FootnoteReference"/>
        </w:rPr>
        <w:footnoteRef/>
      </w:r>
      <w:r w:rsidRPr="00FD61ED">
        <w:t xml:space="preserve"> </w:t>
      </w:r>
      <w:r>
        <w:t>See</w:t>
      </w:r>
      <w:r w:rsidRPr="00FD61ED">
        <w:t xml:space="preserve"> </w:t>
      </w:r>
      <w:r w:rsidRPr="00F352A5">
        <w:rPr>
          <w:smallCaps/>
        </w:rPr>
        <w:t xml:space="preserve">Andreas </w:t>
      </w:r>
      <w:r w:rsidRPr="00FD61ED">
        <w:rPr>
          <w:smallCaps/>
          <w:szCs w:val="18"/>
        </w:rPr>
        <w:t>Lötscher</w:t>
      </w:r>
      <w:r w:rsidRPr="00FD61ED">
        <w:t xml:space="preserve">, </w:t>
      </w:r>
      <w:r>
        <w:t>“</w:t>
      </w:r>
      <w:r w:rsidRPr="00FD61ED">
        <w:t>Multilingual Law Drafting in Switzerland</w:t>
      </w:r>
      <w:r>
        <w:t xml:space="preserve">,” in Günther Grewendorf/Monika Rathert (eds.), </w:t>
      </w:r>
      <w:r w:rsidRPr="007116F8">
        <w:rPr>
          <w:i/>
        </w:rPr>
        <w:t>Formal Linguistics and Law</w:t>
      </w:r>
      <w:r>
        <w:t>, (De Gruyter, Berlin, 2009), at 379ff.</w:t>
      </w:r>
    </w:p>
  </w:footnote>
  <w:footnote w:id="10">
    <w:p w:rsidR="004F3A38" w:rsidRPr="00F352A5" w:rsidRDefault="004F3A38" w:rsidP="00AB02E4">
      <w:pPr>
        <w:pStyle w:val="footnote"/>
      </w:pPr>
      <w:r>
        <w:rPr>
          <w:rStyle w:val="FootnoteReference"/>
        </w:rPr>
        <w:footnoteRef/>
      </w:r>
      <w:r w:rsidRPr="00F352A5">
        <w:t xml:space="preserve"> </w:t>
      </w:r>
      <w:r>
        <w:t>See</w:t>
      </w:r>
      <w:r w:rsidRPr="00F352A5">
        <w:t xml:space="preserve">, </w:t>
      </w:r>
      <w:r>
        <w:t>for example,</w:t>
      </w:r>
      <w:r w:rsidRPr="00F352A5">
        <w:t xml:space="preserve"> BGE 139 I 229; BGE 125 I 347; BGE 122 I 236; BGE 100 Ia 462; BGE 91 I 480.</w:t>
      </w:r>
    </w:p>
  </w:footnote>
  <w:footnote w:id="11">
    <w:p w:rsidR="004F3A38" w:rsidRPr="00F352A5" w:rsidRDefault="004F3A38" w:rsidP="00AB02E4">
      <w:pPr>
        <w:pStyle w:val="footnote"/>
      </w:pPr>
      <w:r>
        <w:rPr>
          <w:rStyle w:val="FootnoteReference"/>
        </w:rPr>
        <w:footnoteRef/>
      </w:r>
      <w:r w:rsidRPr="00F352A5">
        <w:t xml:space="preserve"> </w:t>
      </w:r>
      <w:r>
        <w:t>See</w:t>
      </w:r>
      <w:r w:rsidRPr="00F352A5">
        <w:t xml:space="preserve">, </w:t>
      </w:r>
      <w:r>
        <w:t>for example</w:t>
      </w:r>
      <w:r w:rsidRPr="00F352A5">
        <w:t>, BGE 116 Ia 345.</w:t>
      </w:r>
    </w:p>
  </w:footnote>
  <w:footnote w:id="12">
    <w:p w:rsidR="004F3A38" w:rsidRPr="00F352A5" w:rsidRDefault="004F3A38" w:rsidP="00AB02E4">
      <w:pPr>
        <w:pStyle w:val="footnote"/>
      </w:pPr>
      <w:r>
        <w:rPr>
          <w:rStyle w:val="FootnoteReference"/>
        </w:rPr>
        <w:footnoteRef/>
      </w:r>
      <w:r w:rsidRPr="00F352A5">
        <w:t xml:space="preserve"> </w:t>
      </w:r>
      <w:r>
        <w:t>See</w:t>
      </w:r>
      <w:r w:rsidRPr="00F352A5">
        <w:t xml:space="preserve">, </w:t>
      </w:r>
      <w:r>
        <w:t>for example,</w:t>
      </w:r>
      <w:r w:rsidRPr="00F352A5">
        <w:t xml:space="preserve"> BGE 136 I 149; BGE 121 I 196; BGE 110 II 401; BGE 106 Ia 299.</w:t>
      </w:r>
    </w:p>
  </w:footnote>
  <w:footnote w:id="13">
    <w:p w:rsidR="004F3A38" w:rsidRPr="00F352A5" w:rsidRDefault="004F3A38" w:rsidP="00AB02E4">
      <w:pPr>
        <w:pStyle w:val="footnote"/>
      </w:pPr>
      <w:r>
        <w:rPr>
          <w:rStyle w:val="FootnoteReference"/>
        </w:rPr>
        <w:footnoteRef/>
      </w:r>
      <w:r w:rsidRPr="00F352A5">
        <w:t xml:space="preserve"> </w:t>
      </w:r>
      <w:r w:rsidRPr="00F352A5">
        <w:rPr>
          <w:smallCaps/>
        </w:rPr>
        <w:t>Felix Uhlmann/Stefan Höfler</w:t>
      </w:r>
      <w:r w:rsidRPr="00F352A5">
        <w:t xml:space="preserve">, </w:t>
      </w:r>
      <w:r>
        <w:t>“</w:t>
      </w:r>
      <w:r w:rsidRPr="00F352A5">
        <w:t>Professional Legislative Drafters – New Ideas for Switzerland?</w:t>
      </w:r>
      <w:r>
        <w:t>”</w:t>
      </w:r>
      <w:r w:rsidRPr="00F352A5">
        <w:t xml:space="preserve">, in Felix Uhlmann (ed.), </w:t>
      </w:r>
      <w:r w:rsidRPr="007116F8">
        <w:rPr>
          <w:i/>
        </w:rPr>
        <w:t>Professional Legislative Drafters, Status, Roles, Education</w:t>
      </w:r>
      <w:r w:rsidRPr="00F352A5">
        <w:t xml:space="preserve">, </w:t>
      </w:r>
      <w:r>
        <w:t>(</w:t>
      </w:r>
      <w:r w:rsidRPr="00F352A5">
        <w:t>Dike</w:t>
      </w:r>
      <w:r>
        <w:t>:</w:t>
      </w:r>
      <w:r w:rsidRPr="00F352A5">
        <w:t xml:space="preserve"> Zurich/St. Gallen, 2016</w:t>
      </w:r>
      <w:r>
        <w:t>)</w:t>
      </w:r>
      <w:r w:rsidRPr="00F352A5">
        <w:t xml:space="preserve">, </w:t>
      </w:r>
      <w:r>
        <w:t>at</w:t>
      </w:r>
      <w:r w:rsidRPr="00F352A5">
        <w:t xml:space="preserve"> 144.</w:t>
      </w:r>
    </w:p>
  </w:footnote>
  <w:footnote w:id="14">
    <w:p w:rsidR="004F3A38" w:rsidRPr="00FD61ED" w:rsidRDefault="004F3A38" w:rsidP="00AB02E4">
      <w:pPr>
        <w:pStyle w:val="footnote"/>
      </w:pPr>
      <w:r>
        <w:rPr>
          <w:rStyle w:val="FootnoteReference"/>
        </w:rPr>
        <w:footnoteRef/>
      </w:r>
      <w:r w:rsidRPr="00FD61ED">
        <w:t xml:space="preserve"> </w:t>
      </w:r>
      <w:r w:rsidRPr="00F352A5">
        <w:rPr>
          <w:smallCaps/>
        </w:rPr>
        <w:t xml:space="preserve">Rebekka </w:t>
      </w:r>
      <w:r w:rsidRPr="00FD61ED">
        <w:rPr>
          <w:smallCaps/>
          <w:szCs w:val="18"/>
        </w:rPr>
        <w:t>Bratschi/</w:t>
      </w:r>
      <w:r>
        <w:rPr>
          <w:smallCaps/>
          <w:szCs w:val="18"/>
        </w:rPr>
        <w:t xml:space="preserve">Markus </w:t>
      </w:r>
      <w:r w:rsidRPr="00FD61ED">
        <w:rPr>
          <w:smallCaps/>
          <w:szCs w:val="18"/>
        </w:rPr>
        <w:t>Nussbaumer</w:t>
      </w:r>
      <w:r w:rsidRPr="00FD61ED">
        <w:t xml:space="preserve">, Mehrsprachige </w:t>
      </w:r>
      <w:r>
        <w:t>Rechtsetzung, in Ekkehard Felder/Friedemann Vogel (eds.), Handbuch Sprache im Recht, De Gruyter, Berlin/Boston, 2016 at 371ff.</w:t>
      </w:r>
      <w:r w:rsidRPr="00FD61ED">
        <w:t xml:space="preserve">; </w:t>
      </w:r>
      <w:r w:rsidRPr="00F352A5">
        <w:rPr>
          <w:smallCaps/>
        </w:rPr>
        <w:t xml:space="preserve">Stefan </w:t>
      </w:r>
      <w:r w:rsidRPr="00FD61ED">
        <w:rPr>
          <w:smallCaps/>
          <w:szCs w:val="18"/>
        </w:rPr>
        <w:t>Höfler/</w:t>
      </w:r>
      <w:r>
        <w:rPr>
          <w:smallCaps/>
          <w:szCs w:val="18"/>
        </w:rPr>
        <w:t xml:space="preserve">Markus </w:t>
      </w:r>
      <w:r w:rsidRPr="00FD61ED">
        <w:rPr>
          <w:smallCaps/>
          <w:szCs w:val="18"/>
        </w:rPr>
        <w:t>Nussbaumer/</w:t>
      </w:r>
      <w:r>
        <w:rPr>
          <w:smallCaps/>
          <w:szCs w:val="18"/>
        </w:rPr>
        <w:t xml:space="preserve">Helen </w:t>
      </w:r>
      <w:r w:rsidRPr="00FD61ED">
        <w:rPr>
          <w:smallCaps/>
          <w:szCs w:val="18"/>
        </w:rPr>
        <w:t>Xanthaki</w:t>
      </w:r>
      <w:r w:rsidRPr="00FD61ED">
        <w:t xml:space="preserve">, </w:t>
      </w:r>
      <w:r>
        <w:t>“</w:t>
      </w:r>
      <w:r w:rsidRPr="00FD61ED">
        <w:t>Legislative Drafting,</w:t>
      </w:r>
      <w:r>
        <w:t xml:space="preserve">” in Ulrich Karpen/Helen Xanthaki (eds.), </w:t>
      </w:r>
      <w:r w:rsidRPr="007116F8">
        <w:rPr>
          <w:i/>
        </w:rPr>
        <w:t>Legislation in Europe, A Comprehensive Guide for Scholars and Practitioners</w:t>
      </w:r>
      <w:r>
        <w:t>, (Hart: Oxford/Portland, Oregon, 2017) at</w:t>
      </w:r>
      <w:r w:rsidRPr="00FD61ED">
        <w:t>159ff.</w:t>
      </w:r>
    </w:p>
  </w:footnote>
  <w:footnote w:id="15">
    <w:p w:rsidR="004F3A38" w:rsidRDefault="004F3A38" w:rsidP="00AB02E4">
      <w:pPr>
        <w:pStyle w:val="footnote"/>
      </w:pPr>
      <w:r>
        <w:rPr>
          <w:rStyle w:val="FootnoteReference"/>
        </w:rPr>
        <w:footnoteRef/>
      </w:r>
      <w:r>
        <w:t xml:space="preserve"> See </w:t>
      </w:r>
      <w:r w:rsidRPr="00F352A5">
        <w:rPr>
          <w:smallCaps/>
        </w:rPr>
        <w:t>Urs Albrecht</w:t>
      </w:r>
      <w:r>
        <w:t xml:space="preserve">, Die mehrsprachige Redaktion in der Bundesverwaltung, LeGes 2001/3 at 99 ff.; </w:t>
      </w:r>
      <w:r w:rsidRPr="00F352A5">
        <w:rPr>
          <w:smallCaps/>
        </w:rPr>
        <w:t>Andreas Lötscher</w:t>
      </w:r>
      <w:r>
        <w:t xml:space="preserve">, above n. </w:t>
      </w:r>
      <w:r>
        <w:fldChar w:fldCharType="begin"/>
      </w:r>
      <w:r w:rsidRPr="00F352A5">
        <w:instrText xml:space="preserve"> NOTEREF _Ref496863417 \h </w:instrText>
      </w:r>
      <w:r>
        <w:instrText xml:space="preserve"> \* MERGEFORMAT </w:instrText>
      </w:r>
      <w:r>
        <w:fldChar w:fldCharType="separate"/>
      </w:r>
      <w:r w:rsidR="00D10211">
        <w:t>8</w:t>
      </w:r>
      <w:r>
        <w:fldChar w:fldCharType="end"/>
      </w:r>
      <w:r w:rsidRPr="00F352A5">
        <w:t xml:space="preserve"> </w:t>
      </w:r>
      <w:r>
        <w:t>at</w:t>
      </w:r>
      <w:r w:rsidRPr="00F352A5">
        <w:t xml:space="preserve"> 384 f.; </w:t>
      </w:r>
      <w:r w:rsidRPr="00F352A5">
        <w:rPr>
          <w:smallCaps/>
        </w:rPr>
        <w:t>Georg Müller/Felix Uhlmann</w:t>
      </w:r>
      <w:r w:rsidRPr="00F352A5">
        <w:t xml:space="preserve">, </w:t>
      </w:r>
      <w:r>
        <w:t xml:space="preserve">Elemente einer Rechtssetzungslehre, 3. ed., Schulthess, Zurich/Basel/Geneva, 2013, note 162 f.; </w:t>
      </w:r>
      <w:r w:rsidRPr="00F352A5">
        <w:rPr>
          <w:smallCaps/>
        </w:rPr>
        <w:t>Rainer J. Schweizer/Jérôme Baumann/Jan Scheffler</w:t>
      </w:r>
      <w:r w:rsidRPr="00F352A5">
        <w:t xml:space="preserve">, </w:t>
      </w:r>
      <w:r>
        <w:t xml:space="preserve">above n. </w:t>
      </w:r>
      <w:r>
        <w:fldChar w:fldCharType="begin"/>
      </w:r>
      <w:r w:rsidRPr="00F352A5">
        <w:instrText xml:space="preserve"> NOTEREF _Ref496863464 \h </w:instrText>
      </w:r>
      <w:r>
        <w:instrText xml:space="preserve"> \* MERGEFORMAT </w:instrText>
      </w:r>
      <w:r>
        <w:fldChar w:fldCharType="separate"/>
      </w:r>
      <w:r w:rsidR="00D10211">
        <w:t>7</w:t>
      </w:r>
      <w:r>
        <w:fldChar w:fldCharType="end"/>
      </w:r>
      <w:r w:rsidRPr="00F352A5">
        <w:t xml:space="preserve"> </w:t>
      </w:r>
      <w:r>
        <w:t>at</w:t>
      </w:r>
      <w:r w:rsidRPr="00F352A5">
        <w:t xml:space="preserve"> 31.</w:t>
      </w:r>
    </w:p>
  </w:footnote>
  <w:footnote w:id="16">
    <w:p w:rsidR="004F3A38" w:rsidRDefault="004F3A38" w:rsidP="00AB02E4">
      <w:pPr>
        <w:pStyle w:val="footnote"/>
      </w:pPr>
      <w:r>
        <w:rPr>
          <w:rStyle w:val="FootnoteReference"/>
        </w:rPr>
        <w:footnoteRef/>
      </w:r>
      <w:r>
        <w:t xml:space="preserve"> </w:t>
      </w:r>
      <w:r w:rsidRPr="00F352A5">
        <w:rPr>
          <w:smallCaps/>
        </w:rPr>
        <w:t>Georg Müller/Felix Uhlmann</w:t>
      </w:r>
      <w:r w:rsidRPr="00F352A5">
        <w:t xml:space="preserve">, </w:t>
      </w:r>
      <w:r>
        <w:t xml:space="preserve">above n. </w:t>
      </w:r>
      <w:r>
        <w:fldChar w:fldCharType="begin"/>
      </w:r>
      <w:r>
        <w:instrText xml:space="preserve"> NOTEREF _Ref496863486 \h  \* MERGEFORMAT </w:instrText>
      </w:r>
      <w:r>
        <w:fldChar w:fldCharType="separate"/>
      </w:r>
      <w:r w:rsidR="00D10211">
        <w:t>14</w:t>
      </w:r>
      <w:r>
        <w:fldChar w:fldCharType="end"/>
      </w:r>
      <w:r>
        <w:t xml:space="preserve">, note 163; </w:t>
      </w:r>
      <w:r w:rsidRPr="00F352A5">
        <w:rPr>
          <w:smallCaps/>
        </w:rPr>
        <w:t>Rainer J. Schweizer/Jérôme Baumann/Jan Scheffler</w:t>
      </w:r>
      <w:r w:rsidRPr="00F352A5">
        <w:t xml:space="preserve">, </w:t>
      </w:r>
      <w:r>
        <w:t xml:space="preserve">above n. </w:t>
      </w:r>
      <w:r>
        <w:fldChar w:fldCharType="begin"/>
      </w:r>
      <w:r w:rsidRPr="00F352A5">
        <w:instrText xml:space="preserve"> NOTEREF _Ref496863464 \h </w:instrText>
      </w:r>
      <w:r>
        <w:instrText xml:space="preserve"> \* MERGEFORMAT </w:instrText>
      </w:r>
      <w:r>
        <w:fldChar w:fldCharType="separate"/>
      </w:r>
      <w:r w:rsidR="00D10211">
        <w:t>7</w:t>
      </w:r>
      <w:r>
        <w:fldChar w:fldCharType="end"/>
      </w:r>
      <w:r>
        <w:t xml:space="preserve"> at</w:t>
      </w:r>
      <w:r w:rsidRPr="00F352A5">
        <w:t xml:space="preserve"> 33f.</w:t>
      </w:r>
    </w:p>
  </w:footnote>
  <w:footnote w:id="17">
    <w:p w:rsidR="004F3A38" w:rsidRPr="00F00B40" w:rsidRDefault="004F3A38" w:rsidP="00AB02E4">
      <w:pPr>
        <w:pStyle w:val="footnote"/>
        <w:rPr>
          <w:lang w:val="fr-CA"/>
        </w:rPr>
      </w:pPr>
      <w:r>
        <w:rPr>
          <w:rStyle w:val="FootnoteReference"/>
        </w:rPr>
        <w:footnoteRef/>
      </w:r>
      <w:r>
        <w:t xml:space="preserve"> For more details see </w:t>
      </w:r>
      <w:r w:rsidRPr="00F352A5">
        <w:rPr>
          <w:smallCaps/>
        </w:rPr>
        <w:t>Urs Albrecht</w:t>
      </w:r>
      <w:r>
        <w:t xml:space="preserve">, above n. </w:t>
      </w:r>
      <w:r>
        <w:fldChar w:fldCharType="begin"/>
      </w:r>
      <w:r>
        <w:instrText xml:space="preserve"> NOTEREF _Ref496863486 \h  \* MERGEFORMAT </w:instrText>
      </w:r>
      <w:r>
        <w:fldChar w:fldCharType="separate"/>
      </w:r>
      <w:r w:rsidR="00D10211">
        <w:t>14</w:t>
      </w:r>
      <w:r>
        <w:fldChar w:fldCharType="end"/>
      </w:r>
      <w:r>
        <w:t xml:space="preserve"> at 99ff.; </w:t>
      </w:r>
      <w:r w:rsidRPr="00BE5A1E">
        <w:rPr>
          <w:smallCaps/>
        </w:rPr>
        <w:t>Andreas Lötscher</w:t>
      </w:r>
      <w:r>
        <w:t xml:space="preserve">, above n. </w:t>
      </w:r>
      <w:r>
        <w:fldChar w:fldCharType="begin"/>
      </w:r>
      <w:r w:rsidRPr="00F352A5">
        <w:instrText xml:space="preserve"> NOTEREF _Ref496863417 \h </w:instrText>
      </w:r>
      <w:r>
        <w:instrText xml:space="preserve"> \* MERGEFORMAT </w:instrText>
      </w:r>
      <w:r>
        <w:fldChar w:fldCharType="separate"/>
      </w:r>
      <w:r w:rsidR="00D10211">
        <w:t>8</w:t>
      </w:r>
      <w:r>
        <w:fldChar w:fldCharType="end"/>
      </w:r>
      <w:r>
        <w:t xml:space="preserve"> at</w:t>
      </w:r>
      <w:r w:rsidRPr="00F352A5">
        <w:t> 384</w:t>
      </w:r>
      <w:r>
        <w:t>f</w:t>
      </w:r>
      <w:r w:rsidRPr="00F352A5">
        <w:t xml:space="preserve">f.; </w:t>
      </w:r>
      <w:r w:rsidRPr="00F352A5">
        <w:rPr>
          <w:smallCaps/>
        </w:rPr>
        <w:t>Rainer J. Schweizer/Jérôme Baumann/Jan Scheffler</w:t>
      </w:r>
      <w:r w:rsidRPr="00F352A5">
        <w:t xml:space="preserve">, </w:t>
      </w:r>
      <w:r>
        <w:t xml:space="preserve">above n. </w:t>
      </w:r>
      <w:r>
        <w:fldChar w:fldCharType="begin"/>
      </w:r>
      <w:r w:rsidRPr="00F352A5">
        <w:instrText xml:space="preserve"> NOTEREF _Ref496863464 \h </w:instrText>
      </w:r>
      <w:r>
        <w:instrText xml:space="preserve"> \* MERGEFORMAT </w:instrText>
      </w:r>
      <w:r>
        <w:fldChar w:fldCharType="separate"/>
      </w:r>
      <w:r w:rsidR="00D10211" w:rsidRPr="00D10211">
        <w:rPr>
          <w:lang w:val="fr-CA"/>
        </w:rPr>
        <w:t>7</w:t>
      </w:r>
      <w:r>
        <w:fldChar w:fldCharType="end"/>
      </w:r>
      <w:r w:rsidRPr="00F00B40">
        <w:rPr>
          <w:lang w:val="fr-CA"/>
        </w:rPr>
        <w:t xml:space="preserve"> at 32ff.</w:t>
      </w:r>
    </w:p>
  </w:footnote>
  <w:footnote w:id="18">
    <w:p w:rsidR="004F3A38" w:rsidRPr="00567C7A" w:rsidRDefault="004F3A38" w:rsidP="00AB02E4">
      <w:pPr>
        <w:pStyle w:val="footnote"/>
        <w:rPr>
          <w:lang w:val="fr-CH"/>
        </w:rPr>
      </w:pPr>
      <w:r>
        <w:rPr>
          <w:rStyle w:val="FootnoteReference"/>
        </w:rPr>
        <w:footnoteRef/>
      </w:r>
      <w:r w:rsidRPr="00F00B40">
        <w:rPr>
          <w:lang w:val="fr-CA"/>
        </w:rPr>
        <w:t xml:space="preserve"> For more details see </w:t>
      </w:r>
      <w:r w:rsidRPr="00F00B40">
        <w:rPr>
          <w:smallCaps/>
          <w:lang w:val="fr-CA"/>
        </w:rPr>
        <w:t>Gérard Caussignac</w:t>
      </w:r>
      <w:r w:rsidRPr="00F00B40">
        <w:rPr>
          <w:lang w:val="fr-CA"/>
        </w:rPr>
        <w:t>, Mehrsprachige Rechtsetzung, ius.full 2006</w:t>
      </w:r>
      <w:r>
        <w:rPr>
          <w:lang w:val="fr-CA"/>
        </w:rPr>
        <w:t xml:space="preserve"> at </w:t>
      </w:r>
      <w:r w:rsidRPr="00F00B40">
        <w:rPr>
          <w:lang w:val="fr-CA"/>
        </w:rPr>
        <w:t xml:space="preserve">154ff.; </w:t>
      </w:r>
      <w:r w:rsidRPr="00F00B40">
        <w:rPr>
          <w:smallCaps/>
          <w:lang w:val="fr-CA"/>
        </w:rPr>
        <w:t>Gérard Caussignac</w:t>
      </w:r>
      <w:r w:rsidRPr="00F00B40">
        <w:rPr>
          <w:lang w:val="fr-CA"/>
        </w:rPr>
        <w:t>, L</w:t>
      </w:r>
      <w:r w:rsidRPr="00CC65F6">
        <w:rPr>
          <w:lang w:val="fr-CA"/>
        </w:rPr>
        <w:t>a rédaction législative bilingue dans le canton de Berne, LeGes 2001/3</w:t>
      </w:r>
      <w:r>
        <w:rPr>
          <w:lang w:val="fr-CA"/>
        </w:rPr>
        <w:t xml:space="preserve"> at</w:t>
      </w:r>
      <w:r w:rsidRPr="00CC65F6">
        <w:rPr>
          <w:lang w:val="fr-CA"/>
        </w:rPr>
        <w:t xml:space="preserve"> 59ff.; </w:t>
      </w:r>
      <w:r w:rsidRPr="00CC65F6">
        <w:rPr>
          <w:smallCaps/>
          <w:lang w:val="fr-CA"/>
        </w:rPr>
        <w:t>Gérard Caussignac/Daniel Kettiger</w:t>
      </w:r>
      <w:r w:rsidRPr="00CC65F6">
        <w:rPr>
          <w:lang w:val="fr-CA"/>
        </w:rPr>
        <w:t>, Rédaction parallèle au Canton de Berne/Koredaktion im Kanton Bern, LeGes 1991/3</w:t>
      </w:r>
      <w:r>
        <w:rPr>
          <w:lang w:val="fr-CA"/>
        </w:rPr>
        <w:t xml:space="preserve"> at </w:t>
      </w:r>
      <w:r w:rsidRPr="00CC65F6">
        <w:rPr>
          <w:lang w:val="fr-CA"/>
        </w:rPr>
        <w:t xml:space="preserve">77ff.; </w:t>
      </w:r>
      <w:r w:rsidRPr="00CC65F6">
        <w:rPr>
          <w:smallCaps/>
          <w:lang w:val="fr-CA"/>
        </w:rPr>
        <w:t>Philippe Gerber</w:t>
      </w:r>
      <w:r w:rsidRPr="00CC65F6">
        <w:rPr>
          <w:lang w:val="fr-CA"/>
        </w:rPr>
        <w:t xml:space="preserve">, Rédaction bilingue d’une Constitution cantonale. </w:t>
      </w:r>
      <w:r w:rsidRPr="00567C7A">
        <w:rPr>
          <w:lang w:val="fr-CH"/>
        </w:rPr>
        <w:t>L’exemple du projet de Constitution bernoise, LeGes 1992/3</w:t>
      </w:r>
      <w:r>
        <w:rPr>
          <w:lang w:val="fr-CH"/>
        </w:rPr>
        <w:t xml:space="preserve"> at </w:t>
      </w:r>
      <w:r w:rsidRPr="00567C7A">
        <w:rPr>
          <w:lang w:val="fr-CH"/>
        </w:rPr>
        <w:t>75ff.</w:t>
      </w:r>
    </w:p>
  </w:footnote>
  <w:footnote w:id="19">
    <w:p w:rsidR="004F3A38" w:rsidRPr="00394AE6" w:rsidRDefault="004F3A38" w:rsidP="00AB02E4">
      <w:pPr>
        <w:pStyle w:val="footnote"/>
        <w:rPr>
          <w:lang w:val="en-CA"/>
        </w:rPr>
      </w:pPr>
      <w:r>
        <w:rPr>
          <w:rStyle w:val="FootnoteReference"/>
        </w:rPr>
        <w:footnoteRef/>
      </w:r>
      <w:r w:rsidRPr="00F352A5">
        <w:rPr>
          <w:lang w:val="fr-CH"/>
        </w:rPr>
        <w:t xml:space="preserve"> </w:t>
      </w:r>
      <w:r w:rsidRPr="00F352A5">
        <w:rPr>
          <w:smallCaps/>
          <w:lang w:val="fr-CH"/>
        </w:rPr>
        <w:t>Jean-Christophe Geiser</w:t>
      </w:r>
      <w:r w:rsidRPr="00F352A5">
        <w:rPr>
          <w:lang w:val="fr-CH"/>
        </w:rPr>
        <w:t>, La rédaction multilingue en Suisse, in Charles-Albert Morand (ed.), Légistique formelle et matérielle, Presses Universitaires D'Aix-Marseille, Aix-en-Provence, 1999</w:t>
      </w:r>
      <w:r>
        <w:rPr>
          <w:lang w:val="fr-CH"/>
        </w:rPr>
        <w:t xml:space="preserve"> at </w:t>
      </w:r>
      <w:r w:rsidRPr="00F352A5">
        <w:rPr>
          <w:lang w:val="fr-CH"/>
        </w:rPr>
        <w:t xml:space="preserve">213; </w:t>
      </w:r>
      <w:r w:rsidRPr="00F352A5">
        <w:rPr>
          <w:smallCaps/>
          <w:lang w:val="fr-CH"/>
        </w:rPr>
        <w:t>Rainer J. Schweizer/Jérôme Baumann/Jan Scheffler</w:t>
      </w:r>
      <w:r w:rsidRPr="00F352A5">
        <w:rPr>
          <w:lang w:val="fr-CH"/>
        </w:rPr>
        <w:t xml:space="preserve">, </w:t>
      </w:r>
      <w:r>
        <w:rPr>
          <w:lang w:val="fr-CH"/>
        </w:rPr>
        <w:t xml:space="preserve">above n. </w:t>
      </w:r>
      <w:r>
        <w:fldChar w:fldCharType="begin"/>
      </w:r>
      <w:r w:rsidRPr="00F352A5">
        <w:rPr>
          <w:lang w:val="fr-CH"/>
        </w:rPr>
        <w:instrText xml:space="preserve"> NOTEREF _Ref496863464 \h </w:instrText>
      </w:r>
      <w:r w:rsidRPr="00CC65F6">
        <w:rPr>
          <w:lang w:val="fr-CA"/>
        </w:rPr>
        <w:instrText xml:space="preserve"> \* MERGEFORMAT </w:instrText>
      </w:r>
      <w:r>
        <w:fldChar w:fldCharType="separate"/>
      </w:r>
      <w:r w:rsidR="00D10211" w:rsidRPr="00D10211">
        <w:rPr>
          <w:lang w:val="en-CA"/>
        </w:rPr>
        <w:t>7</w:t>
      </w:r>
      <w:r>
        <w:fldChar w:fldCharType="end"/>
      </w:r>
      <w:r>
        <w:t xml:space="preserve">at </w:t>
      </w:r>
      <w:r w:rsidRPr="00394AE6">
        <w:rPr>
          <w:lang w:val="en-CA"/>
        </w:rPr>
        <w:t>31ff.</w:t>
      </w:r>
    </w:p>
  </w:footnote>
  <w:footnote w:id="20">
    <w:p w:rsidR="004F3A38" w:rsidRDefault="004F3A38" w:rsidP="00AB02E4">
      <w:pPr>
        <w:pStyle w:val="footnote"/>
      </w:pPr>
      <w:r>
        <w:rPr>
          <w:rStyle w:val="FootnoteReference"/>
        </w:rPr>
        <w:footnoteRef/>
      </w:r>
      <w:r>
        <w:t xml:space="preserve"> For more details see </w:t>
      </w:r>
      <w:r w:rsidRPr="00F352A5">
        <w:rPr>
          <w:smallCaps/>
        </w:rPr>
        <w:t>Walter Frizzoni</w:t>
      </w:r>
      <w:r>
        <w:t>, Die mehrsprachige Gesetzesredaktion im Kanton Graubünden, LeGes 2001/3 at 85ff.</w:t>
      </w:r>
    </w:p>
  </w:footnote>
  <w:footnote w:id="21">
    <w:p w:rsidR="004F3A38" w:rsidRPr="00D350D1" w:rsidRDefault="004F3A38" w:rsidP="00AB02E4">
      <w:pPr>
        <w:pStyle w:val="footnote"/>
        <w:rPr>
          <w:lang w:val="de-DE"/>
        </w:rPr>
      </w:pPr>
      <w:r>
        <w:rPr>
          <w:rStyle w:val="FootnoteReference"/>
        </w:rPr>
        <w:footnoteRef/>
      </w:r>
      <w:r>
        <w:t xml:space="preserve"> </w:t>
      </w:r>
      <w:r w:rsidRPr="00BE5A1E">
        <w:rPr>
          <w:smallCaps/>
        </w:rPr>
        <w:t>Gérard Caussignac</w:t>
      </w:r>
      <w:r>
        <w:t xml:space="preserve">, Mehrsprachige Rechtsetzung, above n. </w:t>
      </w:r>
      <w:r>
        <w:fldChar w:fldCharType="begin"/>
      </w:r>
      <w:r>
        <w:instrText xml:space="preserve"> NOTEREF _Ref496864301 \h  \* MERGEFORMAT </w:instrText>
      </w:r>
      <w:r>
        <w:fldChar w:fldCharType="separate"/>
      </w:r>
      <w:r w:rsidR="00D10211">
        <w:t>17</w:t>
      </w:r>
      <w:r>
        <w:fldChar w:fldCharType="end"/>
      </w:r>
      <w:r>
        <w:t xml:space="preserve"> at 155</w:t>
      </w:r>
      <w:r>
        <w:rPr>
          <w:lang w:val="de-DE"/>
        </w:rPr>
        <w:t>.</w:t>
      </w:r>
    </w:p>
  </w:footnote>
  <w:footnote w:id="22">
    <w:p w:rsidR="004F3A38" w:rsidRPr="00D350D1" w:rsidRDefault="004F3A38" w:rsidP="00AB02E4">
      <w:pPr>
        <w:pStyle w:val="footnote"/>
        <w:rPr>
          <w:lang w:val="de-DE"/>
        </w:rPr>
      </w:pPr>
      <w:r>
        <w:rPr>
          <w:rStyle w:val="FootnoteReference"/>
        </w:rPr>
        <w:footnoteRef/>
      </w:r>
      <w:r>
        <w:t xml:space="preserve"> </w:t>
      </w:r>
      <w:r w:rsidRPr="00F352A5">
        <w:rPr>
          <w:smallCaps/>
        </w:rPr>
        <w:t xml:space="preserve">Barbara </w:t>
      </w:r>
      <w:r w:rsidRPr="00D350D1">
        <w:rPr>
          <w:smallCaps/>
          <w:szCs w:val="18"/>
          <w:lang w:val="de-DE"/>
        </w:rPr>
        <w:t>Grüter</w:t>
      </w:r>
      <w:r>
        <w:rPr>
          <w:lang w:val="de-DE"/>
        </w:rPr>
        <w:t>, In welcher Sprache entstehen die Gesetze des Bundes?, LeGes 2015/2 at 354ff.</w:t>
      </w:r>
    </w:p>
  </w:footnote>
  <w:footnote w:id="23">
    <w:p w:rsidR="004F3A38" w:rsidRDefault="004F3A38" w:rsidP="00AB02E4">
      <w:pPr>
        <w:pStyle w:val="footnote"/>
      </w:pPr>
      <w:r>
        <w:rPr>
          <w:rStyle w:val="FootnoteReference"/>
        </w:rPr>
        <w:footnoteRef/>
      </w:r>
      <w:r>
        <w:t xml:space="preserve"> See </w:t>
      </w:r>
      <w:r w:rsidRPr="00F352A5">
        <w:rPr>
          <w:smallCaps/>
          <w:lang w:val="de-DE"/>
        </w:rPr>
        <w:t>Jérôme Baumann/Arno Berther/Marco Borghi/Pia Janczak/Andreas Lötscher/Gianpiero Raveglia/Federica De Rossa  Gisimundo/Jan Scheffler/Rainer J. Schweizer</w:t>
      </w:r>
      <w:r w:rsidRPr="00F352A5">
        <w:rPr>
          <w:lang w:val="de-DE"/>
        </w:rPr>
        <w:t>, Mehrsprachige Gesetzgebung in der Schweiz: Thesen und Empfehlungen, in Rainer J. Schweizer/Marco Borghi (eds.), Mehrsprachige Gesetzgebung in der Schweiz, Dike, Zurich/St. Gallen, 2011</w:t>
      </w:r>
      <w:r>
        <w:rPr>
          <w:lang w:val="de-DE"/>
        </w:rPr>
        <w:t xml:space="preserve"> at </w:t>
      </w:r>
      <w:r w:rsidRPr="00F352A5">
        <w:rPr>
          <w:lang w:val="de-DE"/>
        </w:rPr>
        <w:t xml:space="preserve">390; </w:t>
      </w:r>
      <w:r w:rsidRPr="00F352A5">
        <w:rPr>
          <w:smallCaps/>
          <w:lang w:val="de-DE"/>
        </w:rPr>
        <w:t>Rainer J. Schweizer/Jérôme Baumann/Jan Scheffler</w:t>
      </w:r>
      <w:r w:rsidRPr="00F352A5">
        <w:rPr>
          <w:lang w:val="de-DE"/>
        </w:rPr>
        <w:t xml:space="preserve">, </w:t>
      </w:r>
      <w:r>
        <w:rPr>
          <w:lang w:val="de-DE"/>
        </w:rPr>
        <w:t xml:space="preserve">above n. </w:t>
      </w:r>
      <w:r>
        <w:fldChar w:fldCharType="begin"/>
      </w:r>
      <w:r w:rsidRPr="00F352A5">
        <w:rPr>
          <w:lang w:val="de-DE"/>
        </w:rPr>
        <w:instrText xml:space="preserve"> NOTEREF _Ref496863464 \h </w:instrText>
      </w:r>
      <w:r>
        <w:instrText xml:space="preserve"> \* MERGEFORMAT </w:instrText>
      </w:r>
      <w:r>
        <w:fldChar w:fldCharType="separate"/>
      </w:r>
      <w:r w:rsidR="00D10211">
        <w:rPr>
          <w:lang w:val="de-DE"/>
        </w:rPr>
        <w:t>7</w:t>
      </w:r>
      <w:r>
        <w:fldChar w:fldCharType="end"/>
      </w:r>
      <w:r>
        <w:t xml:space="preserve"> at </w:t>
      </w:r>
      <w:r w:rsidRPr="00F352A5">
        <w:rPr>
          <w:lang w:val="de-DE"/>
        </w:rPr>
        <w:t>34.</w:t>
      </w:r>
    </w:p>
  </w:footnote>
  <w:footnote w:id="24">
    <w:p w:rsidR="004F3A38" w:rsidRDefault="004F3A38" w:rsidP="00AB02E4">
      <w:pPr>
        <w:pStyle w:val="footnote"/>
      </w:pPr>
      <w:r>
        <w:rPr>
          <w:rStyle w:val="FootnoteReference"/>
        </w:rPr>
        <w:footnoteRef/>
      </w:r>
      <w:r>
        <w:t xml:space="preserve"> </w:t>
      </w:r>
      <w:r w:rsidRPr="00F352A5">
        <w:rPr>
          <w:smallCaps/>
        </w:rPr>
        <w:t>Rainer J. Schweizer/Jérôme Baumann/Jan Scheffler</w:t>
      </w:r>
      <w:r w:rsidRPr="00F352A5">
        <w:t xml:space="preserve">, </w:t>
      </w:r>
      <w:r>
        <w:t xml:space="preserve">above n. </w:t>
      </w:r>
      <w:r>
        <w:fldChar w:fldCharType="begin"/>
      </w:r>
      <w:r w:rsidRPr="00F352A5">
        <w:instrText xml:space="preserve"> NOTEREF _Ref496863464 \h </w:instrText>
      </w:r>
      <w:r>
        <w:instrText xml:space="preserve"> \* MERGEFORMAT </w:instrText>
      </w:r>
      <w:r>
        <w:fldChar w:fldCharType="separate"/>
      </w:r>
      <w:r w:rsidR="00D10211">
        <w:t>7</w:t>
      </w:r>
      <w:r>
        <w:fldChar w:fldCharType="end"/>
      </w:r>
      <w:r>
        <w:t xml:space="preserve"> at </w:t>
      </w:r>
      <w:r w:rsidRPr="00F352A5">
        <w:t>31.</w:t>
      </w:r>
    </w:p>
  </w:footnote>
  <w:footnote w:id="25">
    <w:p w:rsidR="004F3A38" w:rsidRDefault="004F3A38" w:rsidP="00AB02E4">
      <w:pPr>
        <w:pStyle w:val="footnote"/>
      </w:pPr>
      <w:r>
        <w:rPr>
          <w:rStyle w:val="FootnoteReference"/>
        </w:rPr>
        <w:footnoteRef/>
      </w:r>
      <w:r>
        <w:t xml:space="preserve"> See </w:t>
      </w:r>
      <w:r w:rsidRPr="00BE5A1E">
        <w:rPr>
          <w:smallCaps/>
        </w:rPr>
        <w:t>Walter Frizzoni</w:t>
      </w:r>
      <w:r>
        <w:t xml:space="preserve">, above n. </w:t>
      </w:r>
      <w:r>
        <w:fldChar w:fldCharType="begin"/>
      </w:r>
      <w:r>
        <w:instrText xml:space="preserve"> NOTEREF _Ref496863896 \h  \* MERGEFORMAT </w:instrText>
      </w:r>
      <w:r>
        <w:fldChar w:fldCharType="separate"/>
      </w:r>
      <w:r w:rsidR="00D10211">
        <w:t>19</w:t>
      </w:r>
      <w:r>
        <w:fldChar w:fldCharType="end"/>
      </w:r>
      <w:r>
        <w:t xml:space="preserve"> at 87.</w:t>
      </w:r>
    </w:p>
  </w:footnote>
  <w:footnote w:id="26">
    <w:p w:rsidR="004F3A38" w:rsidRDefault="004F3A38" w:rsidP="00AB02E4">
      <w:pPr>
        <w:pStyle w:val="footnote"/>
      </w:pPr>
      <w:r>
        <w:rPr>
          <w:rStyle w:val="FootnoteReference"/>
        </w:rPr>
        <w:footnoteRef/>
      </w:r>
      <w:r>
        <w:t xml:space="preserve"> </w:t>
      </w:r>
      <w:r w:rsidRPr="00AD0472">
        <w:t>Gesetzgebungsleitfaden des Bundesamtes für Justiz, Leitfaden für die Ausarbeitung v</w:t>
      </w:r>
      <w:r>
        <w:t>on Erlassen des Bundes, 3. ed.</w:t>
      </w:r>
      <w:r w:rsidRPr="00AD0472">
        <w:t>, Bern</w:t>
      </w:r>
      <w:r>
        <w:t>e,</w:t>
      </w:r>
      <w:r w:rsidRPr="00AD0472">
        <w:t xml:space="preserve"> 2007, </w:t>
      </w:r>
      <w:r>
        <w:t>note 997.</w:t>
      </w:r>
    </w:p>
  </w:footnote>
  <w:footnote w:id="27">
    <w:p w:rsidR="004F3A38" w:rsidRDefault="004F3A38" w:rsidP="00AB02E4">
      <w:pPr>
        <w:pStyle w:val="footnote"/>
      </w:pPr>
      <w:r>
        <w:rPr>
          <w:rStyle w:val="FootnoteReference"/>
        </w:rPr>
        <w:footnoteRef/>
      </w:r>
      <w:r>
        <w:t xml:space="preserve"> </w:t>
      </w:r>
      <w:r w:rsidRPr="00F352A5">
        <w:rPr>
          <w:smallCaps/>
        </w:rPr>
        <w:t>Simon Lüchinger/Marius Roth/Mark Schelker/Felix Uhlmann</w:t>
      </w:r>
      <w:r w:rsidRPr="00BB74F5">
        <w:t>, Qualitätsmessung der Rechtsetzung im Kan</w:t>
      </w:r>
      <w:r>
        <w:t>ton Graubünden, (Empirische Grundlagen, Phase I), Lucerne/Fribourg/Zurich,</w:t>
      </w:r>
      <w:r w:rsidRPr="00BB74F5">
        <w:t xml:space="preserve"> 2015, </w:t>
      </w:r>
      <w:r>
        <w:t xml:space="preserve"> </w:t>
      </w:r>
      <w:hyperlink r:id="rId1" w:history="1">
        <w:r w:rsidRPr="007116F8">
          <w:rPr>
            <w:rStyle w:val="Hyperlink"/>
          </w:rPr>
          <w:t>https://www.rwi.uzh.ch/de/oe/ZfR/forschung/projekte/p02.html</w:t>
        </w:r>
      </w:hyperlink>
      <w:r>
        <w:t xml:space="preserve">. See also </w:t>
      </w:r>
      <w:r w:rsidRPr="00F352A5">
        <w:rPr>
          <w:smallCaps/>
        </w:rPr>
        <w:t>Simon Lüchinger/Mark Schelker</w:t>
      </w:r>
      <w:r>
        <w:t xml:space="preserve">, 2016, Regulation in Swiss Cantons: Data for One Century, CESifo Working Paper, Nr. 5663, &lt;https://ssrn.com/abstract=2719532&gt;; </w:t>
      </w:r>
      <w:r w:rsidRPr="00F352A5">
        <w:rPr>
          <w:smallCaps/>
        </w:rPr>
        <w:t>Felix Uhlmann</w:t>
      </w:r>
      <w:r>
        <w:t>, Wer hat und wer macht wie viel? – Rechtsbestand und Rechtsetzungsaktivität in den Schweizer Kantonen, LeGes 2017/2 at 371ff.</w:t>
      </w:r>
    </w:p>
  </w:footnote>
  <w:footnote w:id="28">
    <w:p w:rsidR="004F3A38" w:rsidRDefault="004F3A38" w:rsidP="00AB02E4">
      <w:pPr>
        <w:pStyle w:val="footnote"/>
      </w:pPr>
      <w:r>
        <w:rPr>
          <w:rStyle w:val="FootnoteReference"/>
        </w:rPr>
        <w:footnoteRef/>
      </w:r>
      <w:r>
        <w:t xml:space="preserve"> </w:t>
      </w:r>
      <w:r w:rsidRPr="00BE5A1E">
        <w:rPr>
          <w:smallCaps/>
        </w:rPr>
        <w:t>Simon Lüchinger/Marius Roth/Mark Schelker/Felix Uhlmann</w:t>
      </w:r>
      <w:r w:rsidRPr="00BB74F5">
        <w:t xml:space="preserve">, </w:t>
      </w:r>
      <w:r>
        <w:t>ibid. at 6.</w:t>
      </w:r>
    </w:p>
  </w:footnote>
  <w:footnote w:id="29">
    <w:p w:rsidR="004F3A38" w:rsidRDefault="004F3A38" w:rsidP="004F3A38">
      <w:pPr>
        <w:pStyle w:val="footnote"/>
      </w:pPr>
      <w:r>
        <w:rPr>
          <w:rStyle w:val="FootnoteReference"/>
        </w:rPr>
        <w:footnoteRef/>
      </w:r>
      <w:r>
        <w:t xml:space="preserve"> See, for example, </w:t>
      </w:r>
      <w:r w:rsidRPr="00AD0472">
        <w:t xml:space="preserve">Gesetzgebungsleitfaden des Bundesamtes für Justiz, </w:t>
      </w:r>
      <w:r>
        <w:t xml:space="preserve">above n. </w:t>
      </w:r>
      <w:r>
        <w:fldChar w:fldCharType="begin"/>
      </w:r>
      <w:r>
        <w:instrText xml:space="preserve"> NOTEREF _Ref496864077 \h </w:instrText>
      </w:r>
      <w:r>
        <w:fldChar w:fldCharType="separate"/>
      </w:r>
      <w:r w:rsidR="00D10211">
        <w:t>25</w:t>
      </w:r>
      <w:r>
        <w:fldChar w:fldCharType="end"/>
      </w:r>
      <w:r w:rsidRPr="00AD0472">
        <w:t xml:space="preserve">, </w:t>
      </w:r>
      <w:r>
        <w:t>note 999.</w:t>
      </w:r>
    </w:p>
  </w:footnote>
  <w:footnote w:id="30">
    <w:p w:rsidR="004F3A38" w:rsidRDefault="004F3A38" w:rsidP="00B16B39">
      <w:pPr>
        <w:pStyle w:val="footnote"/>
      </w:pPr>
      <w:r>
        <w:rPr>
          <w:vertAlign w:val="superscript"/>
        </w:rPr>
        <w:footnoteRef/>
      </w:r>
      <w:r>
        <w:rPr>
          <w:rFonts w:eastAsia="Arial Unicode MS" w:cs="Arial Unicode MS"/>
        </w:rPr>
        <w:t xml:space="preserve"> Legislative Counsel, Government of Nunavut. The views expressed in this article are solely those of the author and do not necessarily represent those of the Government of Nunavut.</w:t>
      </w:r>
    </w:p>
  </w:footnote>
  <w:footnote w:id="31">
    <w:p w:rsidR="004F3A38" w:rsidRDefault="004F3A38" w:rsidP="00B16B39">
      <w:pPr>
        <w:pStyle w:val="footnote"/>
      </w:pPr>
      <w:r>
        <w:rPr>
          <w:vertAlign w:val="superscript"/>
        </w:rPr>
        <w:footnoteRef/>
      </w:r>
      <w:r>
        <w:rPr>
          <w:rFonts w:eastAsia="Arial Unicode MS" w:cs="Arial Unicode MS"/>
        </w:rPr>
        <w:t xml:space="preserve"> Elders have stated that for this literal translation to be correct, the term should be “</w:t>
      </w:r>
      <w:r w:rsidRPr="004F3A38">
        <w:rPr>
          <w:rFonts w:eastAsia="Arial Unicode MS" w:cs="Arial Unicode MS"/>
          <w:i/>
        </w:rPr>
        <w:t xml:space="preserve">Inuit </w:t>
      </w:r>
      <w:r w:rsidRPr="001F7D8F">
        <w:rPr>
          <w:rFonts w:eastAsia="Arial Unicode MS" w:cs="Arial Unicode MS"/>
          <w:i/>
        </w:rPr>
        <w:t>Qaujimajaatuqangit</w:t>
      </w:r>
      <w:r>
        <w:rPr>
          <w:rFonts w:eastAsia="Arial Unicode MS" w:cs="Arial Unicode MS"/>
        </w:rPr>
        <w:t>”. Thank you to Archie Angnakak of the Government of Nunavut for this clarification. However, this paper will use the officially accepted “Inuit Qaujimajatuqangit”.</w:t>
      </w:r>
    </w:p>
  </w:footnote>
  <w:footnote w:id="32">
    <w:p w:rsidR="004F3A38" w:rsidRDefault="004F3A38" w:rsidP="00B16B39">
      <w:pPr>
        <w:pStyle w:val="footnote"/>
      </w:pPr>
      <w:r>
        <w:rPr>
          <w:vertAlign w:val="superscript"/>
        </w:rPr>
        <w:footnoteRef/>
      </w:r>
      <w:r>
        <w:rPr>
          <w:rFonts w:eastAsia="Arial Unicode MS" w:cs="Arial Unicode MS"/>
        </w:rPr>
        <w:t xml:space="preserve"> For a treatment of these concepts, see Frank James Tester and Peter Irniq, “</w:t>
      </w:r>
      <w:r>
        <w:rPr>
          <w:rFonts w:eastAsia="Arial Unicode MS" w:cs="Arial Unicode MS"/>
          <w:i/>
          <w:iCs/>
        </w:rPr>
        <w:t>Inuit Qaujimajatuqangit</w:t>
      </w:r>
      <w:r>
        <w:rPr>
          <w:rFonts w:eastAsia="Arial Unicode MS" w:cs="Arial Unicode MS"/>
        </w:rPr>
        <w:t xml:space="preserve">: Social History, Politics and the Practice of Resistance” </w:t>
      </w:r>
      <w:hyperlink r:id="rId2" w:history="1">
        <w:r w:rsidRPr="00844F91">
          <w:rPr>
            <w:rStyle w:val="Hyperlink"/>
            <w:rFonts w:eastAsia="Arial Unicode MS" w:cs="Arial Unicode MS"/>
          </w:rPr>
          <w:t xml:space="preserve">(2008), 61 </w:t>
        </w:r>
        <w:r w:rsidRPr="00844F91">
          <w:rPr>
            <w:rStyle w:val="Hyperlink"/>
            <w:rFonts w:eastAsia="Arial Unicode MS" w:cs="Arial Unicode MS"/>
            <w:i/>
            <w:iCs/>
          </w:rPr>
          <w:t>Artic</w:t>
        </w:r>
        <w:r>
          <w:rPr>
            <w:rStyle w:val="Hyperlink"/>
            <w:rFonts w:eastAsia="Arial Unicode MS" w:cs="Arial Unicode MS"/>
            <w:iCs/>
          </w:rPr>
          <w:t xml:space="preserve"> (Suppl 1)</w:t>
        </w:r>
        <w:r w:rsidRPr="00844F91">
          <w:rPr>
            <w:rStyle w:val="Hyperlink"/>
            <w:rFonts w:eastAsia="Arial Unicode MS" w:cs="Arial Unicode MS"/>
          </w:rPr>
          <w:t xml:space="preserve"> </w:t>
        </w:r>
        <w:r>
          <w:rPr>
            <w:rStyle w:val="Hyperlink"/>
            <w:rFonts w:eastAsia="Arial Unicode MS" w:cs="Arial Unicode MS"/>
          </w:rPr>
          <w:t>48</w:t>
        </w:r>
      </w:hyperlink>
      <w:r>
        <w:rPr>
          <w:rFonts w:eastAsia="Arial Unicode MS" w:cs="Arial Unicode MS"/>
        </w:rPr>
        <w:t xml:space="preserve"> at 48-49.</w:t>
      </w:r>
    </w:p>
  </w:footnote>
  <w:footnote w:id="33">
    <w:p w:rsidR="004F3A38" w:rsidRDefault="004F3A38" w:rsidP="00B16B39">
      <w:pPr>
        <w:pStyle w:val="footnote"/>
      </w:pPr>
      <w:r>
        <w:rPr>
          <w:vertAlign w:val="superscript"/>
        </w:rPr>
        <w:footnoteRef/>
      </w:r>
      <w:r>
        <w:rPr>
          <w:rFonts w:eastAsia="Arial Unicode MS" w:cs="Arial Unicode MS"/>
        </w:rPr>
        <w:t xml:space="preserve"> Ibid., at 53</w:t>
      </w:r>
    </w:p>
  </w:footnote>
  <w:footnote w:id="34">
    <w:p w:rsidR="004F3A38" w:rsidRDefault="004F3A38" w:rsidP="00B16B39">
      <w:pPr>
        <w:pStyle w:val="footnote"/>
      </w:pPr>
      <w:r>
        <w:rPr>
          <w:vertAlign w:val="superscript"/>
        </w:rPr>
        <w:footnoteRef/>
      </w:r>
      <w:r>
        <w:rPr>
          <w:rFonts w:eastAsia="Arial Unicode MS" w:cs="Arial Unicode MS"/>
        </w:rPr>
        <w:t xml:space="preserve"> Jaypeetee Arnakuk, 2000, as quoted in Shirley Tagalik, </w:t>
      </w:r>
      <w:r w:rsidRPr="005E7471">
        <w:rPr>
          <w:rFonts w:eastAsia="Arial Unicode MS" w:cs="Arial Unicode MS"/>
          <w:i/>
        </w:rPr>
        <w:t>Inuit Qaujimajatuqangit: The role of indigenous knowledge in supporting wellness in Inuit communities in Nunavut</w:t>
      </w:r>
      <w:r>
        <w:rPr>
          <w:rFonts w:eastAsia="Arial Unicode MS" w:cs="Arial Unicode MS"/>
        </w:rPr>
        <w:t xml:space="preserve"> (National Collaborating Centre for Aboriginal Health: Prince George, BC, 2009). Accessed at </w:t>
      </w:r>
      <w:hyperlink r:id="rId3" w:history="1">
        <w:r>
          <w:rPr>
            <w:rStyle w:val="Link"/>
            <w:rFonts w:eastAsia="Arial Unicode MS" w:cs="Arial Unicode MS"/>
          </w:rPr>
          <w:t>https://www.ccnsa-nccah.ca/docs/health/FS-InuitQaujimajatuqangitWellnessNunavut-Tagalik-EN.pdf</w:t>
        </w:r>
      </w:hyperlink>
      <w:r>
        <w:rPr>
          <w:rFonts w:eastAsia="Arial Unicode MS" w:cs="Arial Unicode MS"/>
        </w:rPr>
        <w:t xml:space="preserve">. </w:t>
      </w:r>
    </w:p>
  </w:footnote>
  <w:footnote w:id="35">
    <w:p w:rsidR="004F3A38" w:rsidRDefault="004F3A38" w:rsidP="00B16B39">
      <w:pPr>
        <w:pStyle w:val="footnote"/>
      </w:pPr>
      <w:r>
        <w:rPr>
          <w:vertAlign w:val="superscript"/>
        </w:rPr>
        <w:footnoteRef/>
      </w:r>
      <w:r>
        <w:rPr>
          <w:rFonts w:eastAsia="Arial Unicode MS" w:cs="Arial Unicode MS"/>
        </w:rPr>
        <w:t xml:space="preserve"> Anonymous, 2008, as quoted in George W. Wenzel, “W. From TEK to IQ: Inuit Qaujimajatuqangit and Inuit Cultural Ecology” (2004), 41 </w:t>
      </w:r>
      <w:r w:rsidRPr="005E7471">
        <w:rPr>
          <w:rFonts w:eastAsia="Arial Unicode MS" w:cs="Arial Unicode MS"/>
          <w:i/>
        </w:rPr>
        <w:t>Arctic Anthropology</w:t>
      </w:r>
      <w:r>
        <w:rPr>
          <w:rFonts w:eastAsia="Arial Unicode MS" w:cs="Arial Unicode MS"/>
        </w:rPr>
        <w:t xml:space="preserve"> 238 at 240.</w:t>
      </w:r>
    </w:p>
  </w:footnote>
  <w:footnote w:id="36">
    <w:p w:rsidR="004F3A38" w:rsidRDefault="004F3A38" w:rsidP="00B16B39">
      <w:pPr>
        <w:pStyle w:val="footnote"/>
      </w:pPr>
      <w:r>
        <w:rPr>
          <w:vertAlign w:val="superscript"/>
        </w:rPr>
        <w:footnoteRef/>
      </w:r>
      <w:r>
        <w:rPr>
          <w:rFonts w:eastAsia="Arial Unicode MS" w:cs="Arial Unicode MS"/>
        </w:rPr>
        <w:t xml:space="preserve"> Mike Bell, </w:t>
      </w:r>
      <w:r w:rsidRPr="005E7471">
        <w:rPr>
          <w:rFonts w:eastAsia="Arial Unicode MS" w:cs="Arial Unicode MS"/>
          <w:i/>
        </w:rPr>
        <w:t>Nunavut literacy development in the context of Inuit Qaujimajatuqangit (IQ) (Inuit Traditional Knowledge): A discussion paper</w:t>
      </w:r>
      <w:r>
        <w:rPr>
          <w:rFonts w:eastAsia="Arial Unicode MS" w:cs="Arial Unicode MS"/>
        </w:rPr>
        <w:t xml:space="preserve">.(Inukshuk Management Consultants: Yellowknife, 2002). Accessed at </w:t>
      </w:r>
      <w:r>
        <w:t xml:space="preserve"> </w:t>
      </w:r>
      <w:hyperlink r:id="rId4" w:history="1">
        <w:r w:rsidRPr="009D49A3">
          <w:rPr>
            <w:rStyle w:val="Hyperlink"/>
            <w:rFonts w:eastAsia="Arial Unicode MS" w:cs="Arial Unicode MS"/>
          </w:rPr>
          <w:t>http://epub.sub.uni-hamburg.de/epub/volltexte/2013/24024/pdf/nunavut_literacy_development.pdf</w:t>
        </w:r>
      </w:hyperlink>
      <w:r>
        <w:rPr>
          <w:rFonts w:eastAsia="Arial Unicode MS" w:cs="Arial Unicode MS"/>
        </w:rPr>
        <w:t xml:space="preserve"> . </w:t>
      </w:r>
    </w:p>
  </w:footnote>
  <w:footnote w:id="37">
    <w:p w:rsidR="004F3A38" w:rsidRDefault="004F3A38" w:rsidP="00B16B39">
      <w:pPr>
        <w:pStyle w:val="footnote"/>
      </w:pPr>
      <w:r>
        <w:rPr>
          <w:vertAlign w:val="superscript"/>
        </w:rPr>
        <w:footnoteRef/>
      </w:r>
      <w:r>
        <w:rPr>
          <w:rFonts w:eastAsia="Arial Unicode MS" w:cs="Arial Unicode MS"/>
        </w:rPr>
        <w:t xml:space="preserve"> </w:t>
      </w:r>
      <w:r>
        <w:rPr>
          <w:rFonts w:eastAsia="Arial Unicode MS" w:cs="Arial Unicode MS"/>
          <w:i/>
          <w:iCs/>
        </w:rPr>
        <w:t>Inuit Qaujimajatuqangit Education Framework for Nunavut Schools</w:t>
      </w:r>
      <w:r>
        <w:rPr>
          <w:rFonts w:eastAsia="Arial Unicode MS" w:cs="Arial Unicode MS"/>
        </w:rPr>
        <w:t xml:space="preserve">., at slide 20. Accessed at </w:t>
      </w:r>
      <w:hyperlink r:id="rId5" w:history="1">
        <w:r>
          <w:rPr>
            <w:rStyle w:val="Link"/>
            <w:rFonts w:eastAsia="Arial Unicode MS" w:cs="Arial Unicode MS"/>
          </w:rPr>
          <w:t>http://kugluktukhighschool.ca/1iq-foundationdoc.pdf</w:t>
        </w:r>
      </w:hyperlink>
      <w:r>
        <w:rPr>
          <w:rFonts w:eastAsia="Arial Unicode MS" w:cs="Arial Unicode MS"/>
        </w:rPr>
        <w:t xml:space="preserve">. </w:t>
      </w:r>
    </w:p>
  </w:footnote>
  <w:footnote w:id="38">
    <w:p w:rsidR="004F3A38" w:rsidRDefault="004F3A38" w:rsidP="00B16B39">
      <w:pPr>
        <w:pStyle w:val="footnote"/>
      </w:pPr>
      <w:r>
        <w:rPr>
          <w:vertAlign w:val="superscript"/>
        </w:rPr>
        <w:footnoteRef/>
      </w:r>
      <w:r>
        <w:rPr>
          <w:rFonts w:eastAsia="Arial Unicode MS" w:cs="Arial Unicode MS"/>
        </w:rPr>
        <w:t xml:space="preserve"> </w:t>
      </w:r>
      <w:r>
        <w:rPr>
          <w:rFonts w:eastAsia="Arial Unicode MS" w:cs="Arial Unicode MS"/>
          <w:i/>
          <w:iCs/>
        </w:rPr>
        <w:t>Legislative Assembly and Executive Council Act</w:t>
      </w:r>
      <w:r>
        <w:rPr>
          <w:rFonts w:eastAsia="Arial Unicode MS" w:cs="Arial Unicode MS"/>
        </w:rPr>
        <w:t xml:space="preserve">, S. Nu. 2002, c. 5, </w:t>
      </w:r>
      <w:r>
        <w:rPr>
          <w:rFonts w:eastAsia="Arial Unicode MS" w:cs="Arial Unicode MS"/>
          <w:i/>
          <w:iCs/>
        </w:rPr>
        <w:t>Nunavut Elections Act</w:t>
      </w:r>
      <w:r>
        <w:rPr>
          <w:rFonts w:eastAsia="Arial Unicode MS" w:cs="Arial Unicode MS"/>
        </w:rPr>
        <w:t xml:space="preserve">, S. Nu. 2002, c. 17, </w:t>
      </w:r>
      <w:r>
        <w:rPr>
          <w:rFonts w:eastAsia="Arial Unicode MS" w:cs="Arial Unicode MS"/>
          <w:i/>
          <w:iCs/>
        </w:rPr>
        <w:t>Human Rights Act</w:t>
      </w:r>
      <w:r>
        <w:rPr>
          <w:rFonts w:eastAsia="Arial Unicode MS" w:cs="Arial Unicode MS"/>
        </w:rPr>
        <w:t xml:space="preserve">, S. Nu. 2003, c. 12, </w:t>
      </w:r>
      <w:r>
        <w:rPr>
          <w:rFonts w:eastAsia="Arial Unicode MS" w:cs="Arial Unicode MS"/>
          <w:i/>
          <w:iCs/>
        </w:rPr>
        <w:t>Official Languages Act</w:t>
      </w:r>
      <w:r>
        <w:rPr>
          <w:rFonts w:eastAsia="Arial Unicode MS" w:cs="Arial Unicode MS"/>
        </w:rPr>
        <w:t xml:space="preserve">, S. Nu. 2008, c. 10, </w:t>
      </w:r>
      <w:r>
        <w:rPr>
          <w:rFonts w:eastAsia="Arial Unicode MS" w:cs="Arial Unicode MS"/>
          <w:i/>
          <w:iCs/>
        </w:rPr>
        <w:t>Education Act</w:t>
      </w:r>
      <w:r>
        <w:rPr>
          <w:rFonts w:eastAsia="Arial Unicode MS" w:cs="Arial Unicode MS"/>
        </w:rPr>
        <w:t xml:space="preserve">, S. Nu. 2008, c. 15, </w:t>
      </w:r>
      <w:r>
        <w:rPr>
          <w:rFonts w:eastAsia="Arial Unicode MS" w:cs="Arial Unicode MS"/>
          <w:i/>
          <w:iCs/>
        </w:rPr>
        <w:t>Inuit Language Protection Act</w:t>
      </w:r>
      <w:r>
        <w:rPr>
          <w:rFonts w:eastAsia="Arial Unicode MS" w:cs="Arial Unicode MS"/>
        </w:rPr>
        <w:t xml:space="preserve">, S. Nu. 2008, c. 17, </w:t>
      </w:r>
      <w:r>
        <w:rPr>
          <w:rFonts w:eastAsia="Arial Unicode MS" w:cs="Arial Unicode MS"/>
          <w:i/>
          <w:iCs/>
        </w:rPr>
        <w:t>Plebiscites Act</w:t>
      </w:r>
      <w:r>
        <w:rPr>
          <w:rFonts w:eastAsia="Arial Unicode MS" w:cs="Arial Unicode MS"/>
        </w:rPr>
        <w:t>, S. Nu. 2013, c. 25.</w:t>
      </w:r>
    </w:p>
  </w:footnote>
  <w:footnote w:id="39">
    <w:p w:rsidR="004F3A38" w:rsidRDefault="004F3A38" w:rsidP="00B16B39">
      <w:pPr>
        <w:pStyle w:val="footnote"/>
      </w:pPr>
      <w:r>
        <w:rPr>
          <w:vertAlign w:val="superscript"/>
        </w:rPr>
        <w:footnoteRef/>
      </w:r>
      <w:r>
        <w:rPr>
          <w:rFonts w:eastAsia="Arial Unicode MS" w:cs="Arial Unicode MS"/>
        </w:rPr>
        <w:t xml:space="preserve"> </w:t>
      </w:r>
      <w:r>
        <w:rPr>
          <w:rFonts w:eastAsia="Arial Unicode MS" w:cs="Arial Unicode MS"/>
          <w:i/>
          <w:iCs/>
        </w:rPr>
        <w:t>Wildlife Act</w:t>
      </w:r>
      <w:r>
        <w:rPr>
          <w:rFonts w:eastAsia="Arial Unicode MS" w:cs="Arial Unicode MS"/>
        </w:rPr>
        <w:t xml:space="preserve">, S. Nu. 2003 c. 26, s. 2 and </w:t>
      </w:r>
      <w:r>
        <w:rPr>
          <w:rFonts w:eastAsia="Arial Unicode MS" w:cs="Arial Unicode MS"/>
          <w:i/>
          <w:iCs/>
        </w:rPr>
        <w:t>Family Abuse Intervention Act</w:t>
      </w:r>
      <w:r>
        <w:rPr>
          <w:rFonts w:eastAsia="Arial Unicode MS" w:cs="Arial Unicode MS"/>
        </w:rPr>
        <w:t>, S. Nu. 2006, c. 18, s. 1.</w:t>
      </w:r>
    </w:p>
  </w:footnote>
  <w:footnote w:id="40">
    <w:p w:rsidR="004F3A38" w:rsidRDefault="004F3A38" w:rsidP="00B16B39">
      <w:pPr>
        <w:pStyle w:val="footnote"/>
      </w:pPr>
      <w:r>
        <w:rPr>
          <w:vertAlign w:val="superscript"/>
        </w:rPr>
        <w:footnoteRef/>
      </w:r>
      <w:r>
        <w:t xml:space="preserve"> </w:t>
      </w:r>
      <w:r>
        <w:rPr>
          <w:i/>
          <w:iCs/>
        </w:rPr>
        <w:t>R. v Mikijuk</w:t>
      </w:r>
      <w:r>
        <w:t xml:space="preserve">, 2017 NUCJ 2, para. </w:t>
      </w:r>
      <w:r w:rsidRPr="005E7471">
        <w:rPr>
          <w:lang w:val="en-CA"/>
        </w:rPr>
        <w:t>17.</w:t>
      </w:r>
    </w:p>
  </w:footnote>
  <w:footnote w:id="41">
    <w:p w:rsidR="004F3A38" w:rsidRDefault="004F3A38" w:rsidP="00B16B39">
      <w:pPr>
        <w:pStyle w:val="footnote"/>
      </w:pPr>
      <w:r>
        <w:rPr>
          <w:vertAlign w:val="superscript"/>
        </w:rPr>
        <w:footnoteRef/>
      </w:r>
      <w:r>
        <w:t xml:space="preserve"> See above, note </w:t>
      </w:r>
      <w:r>
        <w:fldChar w:fldCharType="begin"/>
      </w:r>
      <w:r>
        <w:instrText xml:space="preserve"> NOTEREF _Ref501712221 \h </w:instrText>
      </w:r>
      <w:r>
        <w:fldChar w:fldCharType="separate"/>
      </w:r>
      <w:r w:rsidR="00D10211">
        <w:t>3</w:t>
      </w:r>
      <w:r>
        <w:fldChar w:fldCharType="end"/>
      </w:r>
      <w:r>
        <w:t xml:space="preserve"> at 57.</w:t>
      </w:r>
    </w:p>
  </w:footnote>
  <w:footnote w:id="42">
    <w:p w:rsidR="004F3A38" w:rsidRDefault="004F3A38" w:rsidP="00B16B39">
      <w:pPr>
        <w:pStyle w:val="footnote"/>
      </w:pPr>
      <w:r>
        <w:rPr>
          <w:vertAlign w:val="superscript"/>
        </w:rPr>
        <w:footnoteRef/>
      </w:r>
      <w:r>
        <w:rPr>
          <w:rFonts w:eastAsia="Arial Unicode MS" w:cs="Arial Unicode MS"/>
        </w:rPr>
        <w:t xml:space="preserve"> Nunavut Land Claims Agreement, Section 4.1.1.</w:t>
      </w:r>
    </w:p>
  </w:footnote>
  <w:footnote w:id="43">
    <w:p w:rsidR="004F3A38" w:rsidRDefault="004F3A38" w:rsidP="00B16B39">
      <w:pPr>
        <w:pStyle w:val="footnote"/>
      </w:pPr>
      <w:r>
        <w:rPr>
          <w:vertAlign w:val="superscript"/>
        </w:rPr>
        <w:footnoteRef/>
      </w:r>
      <w:r>
        <w:t xml:space="preserve"> Ibid, sections 32.1.1 and 32.1.2.</w:t>
      </w:r>
    </w:p>
  </w:footnote>
  <w:footnote w:id="44">
    <w:p w:rsidR="004F3A38" w:rsidRDefault="004F3A38" w:rsidP="00B16B39">
      <w:pPr>
        <w:pStyle w:val="footnote"/>
      </w:pPr>
      <w:r>
        <w:rPr>
          <w:vertAlign w:val="superscript"/>
        </w:rPr>
        <w:footnoteRef/>
      </w:r>
      <w:r>
        <w:t xml:space="preserve"> Similar to the Speech from the Throne in the Commonwealth realms</w:t>
      </w:r>
    </w:p>
  </w:footnote>
  <w:footnote w:id="45">
    <w:p w:rsidR="004F3A38" w:rsidRDefault="004F3A38" w:rsidP="00B16B39">
      <w:pPr>
        <w:pStyle w:val="footnote"/>
      </w:pPr>
      <w:r>
        <w:rPr>
          <w:vertAlign w:val="superscript"/>
        </w:rPr>
        <w:footnoteRef/>
      </w:r>
      <w:r>
        <w:t xml:space="preserve"> Nunavut Hansard, 2</w:t>
      </w:r>
      <w:r>
        <w:rPr>
          <w:vertAlign w:val="superscript"/>
        </w:rPr>
        <w:t>nd</w:t>
      </w:r>
      <w:r>
        <w:t xml:space="preserve"> Session, 1</w:t>
      </w:r>
      <w:r>
        <w:rPr>
          <w:vertAlign w:val="superscript"/>
        </w:rPr>
        <w:t>st</w:t>
      </w:r>
      <w:r>
        <w:t xml:space="preserve"> Assembly, May 12, 1999 at 3.</w:t>
      </w:r>
    </w:p>
  </w:footnote>
  <w:footnote w:id="46">
    <w:p w:rsidR="004F3A38" w:rsidRDefault="004F3A38" w:rsidP="00B16B39">
      <w:pPr>
        <w:pStyle w:val="footnote"/>
      </w:pPr>
      <w:r>
        <w:rPr>
          <w:vertAlign w:val="superscript"/>
        </w:rPr>
        <w:footnoteRef/>
      </w:r>
      <w:r>
        <w:t xml:space="preserve"> </w:t>
      </w:r>
      <w:r w:rsidRPr="005E7471">
        <w:t xml:space="preserve">Bathurst Mandate, Government of Nunavut, August 1999 at 4. Accessed at </w:t>
      </w:r>
      <w:hyperlink r:id="rId6" w:history="1">
        <w:r w:rsidRPr="005E7471">
          <w:t>http://nni.gov.nu.ca/sites/nni.gov.nu.ca/files/05%20Bathurst%20Mandate_Eng.pdf</w:t>
        </w:r>
      </w:hyperlink>
      <w:r>
        <w:t xml:space="preserve">. </w:t>
      </w:r>
    </w:p>
  </w:footnote>
  <w:footnote w:id="47">
    <w:p w:rsidR="004F3A38" w:rsidRDefault="004F3A38" w:rsidP="00B16B39">
      <w:pPr>
        <w:pStyle w:val="footnote"/>
      </w:pPr>
      <w:r>
        <w:rPr>
          <w:vertAlign w:val="superscript"/>
        </w:rPr>
        <w:footnoteRef/>
      </w:r>
      <w:r>
        <w:t xml:space="preserve"> </w:t>
      </w:r>
      <w:r w:rsidRPr="005E7471">
        <w:t>Truth and Reconciliation Commission of Canada: Calls to Action</w:t>
      </w:r>
      <w:r>
        <w:t xml:space="preserve">, </w:t>
      </w:r>
      <w:r w:rsidRPr="005E7471">
        <w:t>#50</w:t>
      </w:r>
      <w:r>
        <w:t xml:space="preserve"> (Truth and Reconciliation Commission of Canada: Winnipeg, 2015)</w:t>
      </w:r>
      <w:r w:rsidRPr="005E7471">
        <w:t xml:space="preserve">. Accessed at </w:t>
      </w:r>
      <w:hyperlink r:id="rId7" w:history="1">
        <w:r w:rsidRPr="005E7471">
          <w:t>http://www.trc.ca/websites/trcinstitution/File/2015/Findings/Calls_to_Action_English2.pdf</w:t>
        </w:r>
      </w:hyperlink>
      <w:r w:rsidRPr="005E7471">
        <w:t>.</w:t>
      </w:r>
    </w:p>
  </w:footnote>
  <w:footnote w:id="48">
    <w:p w:rsidR="004F3A38" w:rsidRDefault="004F3A38" w:rsidP="00B16B39">
      <w:pPr>
        <w:pStyle w:val="footnote"/>
      </w:pPr>
      <w:r>
        <w:rPr>
          <w:vertAlign w:val="superscript"/>
        </w:rPr>
        <w:footnoteRef/>
      </w:r>
      <w:r>
        <w:rPr>
          <w:rFonts w:eastAsia="Arial Unicode MS" w:cs="Arial Unicode MS"/>
        </w:rPr>
        <w:t xml:space="preserve"> See Appendix A for some examples.</w:t>
      </w:r>
    </w:p>
  </w:footnote>
  <w:footnote w:id="49">
    <w:p w:rsidR="004F3A38" w:rsidRDefault="004F3A38" w:rsidP="00B16B39">
      <w:pPr>
        <w:pStyle w:val="footnote"/>
      </w:pPr>
      <w:r>
        <w:rPr>
          <w:vertAlign w:val="superscript"/>
        </w:rPr>
        <w:footnoteRef/>
      </w:r>
      <w:r>
        <w:rPr>
          <w:rFonts w:eastAsia="Arial Unicode MS" w:cs="Arial Unicode MS"/>
        </w:rPr>
        <w:t xml:space="preserve"> Special Committee to Review the </w:t>
      </w:r>
      <w:r>
        <w:rPr>
          <w:rFonts w:eastAsia="Arial Unicode MS" w:cs="Arial Unicode MS"/>
          <w:i/>
          <w:iCs/>
        </w:rPr>
        <w:t>Education Act</w:t>
      </w:r>
      <w:r>
        <w:rPr>
          <w:rFonts w:eastAsia="Arial Unicode MS" w:cs="Arial Unicode MS"/>
        </w:rPr>
        <w:t xml:space="preserve">: Final Report, November 2015 at 10. Accessed at: </w:t>
      </w:r>
      <w:r w:rsidRPr="00F57430">
        <w:rPr>
          <w:rFonts w:eastAsia="Arial Unicode MS" w:cs="Arial Unicode MS"/>
        </w:rPr>
        <w:t>http://assembly.nu.ca/sites/default/files/Report%20of%20the%20Special%20Committee%20to%20Review%20the%20Education%20Act%20-%20November%202015%20-%20English.pdf</w:t>
      </w:r>
      <w:r>
        <w:rPr>
          <w:rFonts w:eastAsia="Arial Unicode MS" w:cs="Arial Unicode MS"/>
        </w:rPr>
        <w:t xml:space="preserve">. </w:t>
      </w:r>
    </w:p>
  </w:footnote>
  <w:footnote w:id="50">
    <w:p w:rsidR="004F3A38" w:rsidRDefault="004F3A38" w:rsidP="00B16B39">
      <w:pPr>
        <w:pStyle w:val="footnote"/>
      </w:pPr>
      <w:r>
        <w:rPr>
          <w:vertAlign w:val="superscript"/>
        </w:rPr>
        <w:footnoteRef/>
      </w:r>
      <w:r>
        <w:rPr>
          <w:rFonts w:eastAsia="Arial Unicode MS" w:cs="Arial Unicode MS"/>
        </w:rPr>
        <w:t xml:space="preserve"> Ibid.</w:t>
      </w:r>
    </w:p>
  </w:footnote>
  <w:footnote w:id="51">
    <w:p w:rsidR="004F3A38" w:rsidRDefault="004F3A38" w:rsidP="00B16B39">
      <w:pPr>
        <w:pStyle w:val="footnote"/>
      </w:pPr>
      <w:r>
        <w:rPr>
          <w:vertAlign w:val="superscript"/>
        </w:rPr>
        <w:footnoteRef/>
      </w:r>
      <w:r>
        <w:rPr>
          <w:rFonts w:eastAsia="Arial Unicode MS" w:cs="Arial Unicode MS"/>
        </w:rPr>
        <w:t xml:space="preserve"> Bill 37, </w:t>
      </w:r>
      <w:r>
        <w:rPr>
          <w:rFonts w:eastAsia="Arial Unicode MS" w:cs="Arial Unicode MS"/>
          <w:i/>
          <w:iCs/>
        </w:rPr>
        <w:t>An Act to Amend the Education Act and Inuit Language Protection Act</w:t>
      </w:r>
      <w:r>
        <w:rPr>
          <w:rFonts w:eastAsia="Arial Unicode MS" w:cs="Arial Unicode MS"/>
        </w:rPr>
        <w:t>, 3rd Session, 4th Leg, Nunavut, 2017.</w:t>
      </w:r>
    </w:p>
  </w:footnote>
  <w:footnote w:id="52">
    <w:p w:rsidR="004F3A38" w:rsidRDefault="004F3A38" w:rsidP="00B16B39">
      <w:pPr>
        <w:pStyle w:val="footnote"/>
      </w:pPr>
      <w:r>
        <w:rPr>
          <w:rStyle w:val="FootnoteReference"/>
          <w:rFonts w:eastAsia="Arial"/>
        </w:rPr>
        <w:footnoteRef/>
      </w:r>
      <w:r>
        <w:rPr>
          <w:rFonts w:eastAsia="Arial Unicode MS" w:cs="Arial Unicode MS"/>
        </w:rPr>
        <w:t xml:space="preserve"> S. Nu. 2003 c. 26.</w:t>
      </w:r>
    </w:p>
  </w:footnote>
  <w:footnote w:id="53">
    <w:p w:rsidR="004F3A38" w:rsidRPr="005E7471" w:rsidRDefault="004F3A38" w:rsidP="00B16B39">
      <w:pPr>
        <w:pStyle w:val="footnote"/>
      </w:pPr>
      <w:r>
        <w:rPr>
          <w:rStyle w:val="FootnoteReference"/>
          <w:rFonts w:eastAsia="Arial"/>
        </w:rPr>
        <w:footnoteRef/>
      </w:r>
      <w:r>
        <w:t xml:space="preserve"> S. Nu 2008, c. 10.</w:t>
      </w:r>
    </w:p>
  </w:footnote>
  <w:footnote w:id="54">
    <w:p w:rsidR="004F3A38" w:rsidRDefault="004F3A38" w:rsidP="00B16B39">
      <w:pPr>
        <w:pStyle w:val="footnote"/>
      </w:pPr>
      <w:r>
        <w:rPr>
          <w:vertAlign w:val="superscript"/>
        </w:rPr>
        <w:footnoteRef/>
      </w:r>
      <w:r>
        <w:rPr>
          <w:rFonts w:eastAsia="Arial Unicode MS" w:cs="Arial Unicode MS"/>
        </w:rPr>
        <w:t xml:space="preserve"> In Nunavut, not all Acts have responsible Ministers – some Acts are the direct responsibility of the Legislative Assembly as a whole.</w:t>
      </w:r>
    </w:p>
  </w:footnote>
  <w:footnote w:id="55">
    <w:p w:rsidR="004F3A38" w:rsidRDefault="004F3A38" w:rsidP="00B16B39">
      <w:pPr>
        <w:pStyle w:val="footnote"/>
      </w:pPr>
      <w:r>
        <w:rPr>
          <w:rStyle w:val="FootnoteReference"/>
          <w:rFonts w:eastAsia="Arial"/>
        </w:rPr>
        <w:footnoteRef/>
      </w:r>
      <w:r>
        <w:rPr>
          <w:rFonts w:eastAsia="Arial Unicode MS" w:cs="Arial Unicode MS"/>
        </w:rPr>
        <w:t xml:space="preserve"> S Nu 2003, c. 12.</w:t>
      </w:r>
    </w:p>
  </w:footnote>
  <w:footnote w:id="56">
    <w:p w:rsidR="004F3A38" w:rsidRDefault="004F3A38" w:rsidP="00B16B39">
      <w:pPr>
        <w:pStyle w:val="footnote"/>
      </w:pPr>
      <w:r>
        <w:rPr>
          <w:vertAlign w:val="superscript"/>
        </w:rPr>
        <w:footnoteRef/>
      </w:r>
      <w:r>
        <w:rPr>
          <w:rFonts w:eastAsia="Arial Unicode MS" w:cs="Arial Unicode MS"/>
        </w:rPr>
        <w:t xml:space="preserve"> S Nu 2017, c. 14.</w:t>
      </w:r>
    </w:p>
  </w:footnote>
  <w:footnote w:id="57">
    <w:p w:rsidR="004F3A38" w:rsidRDefault="004F3A38" w:rsidP="00B16B39">
      <w:pPr>
        <w:pStyle w:val="footnote"/>
      </w:pPr>
      <w:r>
        <w:rPr>
          <w:rStyle w:val="FootnoteReference"/>
          <w:rFonts w:eastAsia="Arial"/>
        </w:rPr>
        <w:footnoteRef/>
      </w:r>
      <w:r>
        <w:rPr>
          <w:rFonts w:eastAsia="Arial Unicode MS" w:cs="Arial Unicode MS"/>
        </w:rPr>
        <w:t xml:space="preserve"> Bill 40, </w:t>
      </w:r>
      <w:r>
        <w:rPr>
          <w:rFonts w:eastAsia="Arial Unicode MS" w:cs="Arial Unicode MS"/>
          <w:i/>
          <w:iCs/>
        </w:rPr>
        <w:t>Corrections Act</w:t>
      </w:r>
      <w:r>
        <w:rPr>
          <w:rFonts w:eastAsia="Arial Unicode MS" w:cs="Arial Unicode MS"/>
        </w:rPr>
        <w:t>, 3rd Session, 4th Leg, Nunavut, 2017.</w:t>
      </w:r>
    </w:p>
  </w:footnote>
  <w:footnote w:id="58">
    <w:p w:rsidR="004F3A38" w:rsidRDefault="004F3A38" w:rsidP="00B16B39">
      <w:pPr>
        <w:pStyle w:val="footnote"/>
      </w:pPr>
      <w:r>
        <w:rPr>
          <w:vertAlign w:val="superscript"/>
        </w:rPr>
        <w:footnoteRef/>
      </w:r>
      <w:r w:rsidRPr="000A56B1">
        <w:rPr>
          <w:rFonts w:eastAsia="Arial Unicode MS" w:cs="Arial Unicode MS"/>
        </w:rPr>
        <w:t xml:space="preserve"> Mariano Aupilaarjuk; Marie Tulimaaq; Joamie Akisu; Emile Imaruittuq; Lucassi Nutaraaluk, </w:t>
      </w:r>
      <w:r>
        <w:rPr>
          <w:rFonts w:eastAsia="Arial Unicode MS" w:cs="Arial Unicode MS"/>
          <w:i/>
          <w:iCs/>
        </w:rPr>
        <w:t>Interviewing Inuit Elders: Perspectives on Traditional Law</w:t>
      </w:r>
      <w:r>
        <w:rPr>
          <w:rFonts w:eastAsia="Arial Unicode MS" w:cs="Arial Unicode MS"/>
        </w:rPr>
        <w:t xml:space="preserve"> (Nunavut Arctic College:1999) at 46.</w:t>
      </w:r>
    </w:p>
  </w:footnote>
  <w:footnote w:id="59">
    <w:p w:rsidR="004F3A38" w:rsidRDefault="004F3A38" w:rsidP="00B16B39">
      <w:pPr>
        <w:pStyle w:val="footnote"/>
      </w:pPr>
      <w:r>
        <w:rPr>
          <w:rStyle w:val="FootnoteReference"/>
          <w:rFonts w:eastAsia="Arial"/>
        </w:rPr>
        <w:footnoteRef/>
      </w:r>
      <w:r>
        <w:rPr>
          <w:rFonts w:eastAsia="Arial Unicode MS" w:cs="Arial Unicode MS"/>
        </w:rPr>
        <w:t xml:space="preserve"> </w:t>
      </w:r>
      <w:hyperlink r:id="rId8" w:history="1">
        <w:r w:rsidRPr="00C458FE">
          <w:rPr>
            <w:rStyle w:val="Hyperlink"/>
            <w:rFonts w:eastAsia="Arial Unicode MS" w:cs="Arial Unicode MS"/>
          </w:rPr>
          <w:t>2002 CanLII 53332</w:t>
        </w:r>
      </w:hyperlink>
      <w:r>
        <w:rPr>
          <w:rFonts w:eastAsia="Arial Unicode MS" w:cs="Arial Unicode MS"/>
        </w:rPr>
        <w:t>.</w:t>
      </w:r>
    </w:p>
  </w:footnote>
  <w:footnote w:id="60">
    <w:p w:rsidR="004F3A38" w:rsidRDefault="004F3A38" w:rsidP="00B16B39">
      <w:pPr>
        <w:pStyle w:val="footnote"/>
      </w:pPr>
      <w:r>
        <w:rPr>
          <w:rStyle w:val="FootnoteReference"/>
          <w:rFonts w:eastAsia="Arial"/>
        </w:rPr>
        <w:footnoteRef/>
      </w:r>
      <w:r>
        <w:rPr>
          <w:rFonts w:eastAsia="Arial Unicode MS" w:cs="Arial Unicode MS"/>
        </w:rPr>
        <w:t xml:space="preserve"> </w:t>
      </w:r>
      <w:hyperlink r:id="rId9" w:history="1">
        <w:r w:rsidRPr="00C458FE">
          <w:rPr>
            <w:rStyle w:val="Hyperlink"/>
            <w:rFonts w:eastAsia="Arial Unicode MS" w:cs="Arial Unicode MS"/>
          </w:rPr>
          <w:t>2017 NUCJ 5</w:t>
        </w:r>
      </w:hyperlink>
      <w:r>
        <w:rPr>
          <w:rFonts w:eastAsia="Arial Unicode MS" w:cs="Arial Unicode MS"/>
        </w:rPr>
        <w:t>.</w:t>
      </w:r>
    </w:p>
  </w:footnote>
  <w:footnote w:id="61">
    <w:p w:rsidR="004F3A38" w:rsidRDefault="004F3A38" w:rsidP="00B16B39">
      <w:pPr>
        <w:pStyle w:val="footnote"/>
      </w:pPr>
      <w:r>
        <w:rPr>
          <w:vertAlign w:val="superscript"/>
        </w:rPr>
        <w:footnoteRef/>
      </w:r>
      <w:r>
        <w:rPr>
          <w:rFonts w:eastAsia="Arial Unicode MS" w:cs="Arial Unicode MS"/>
        </w:rPr>
        <w:t xml:space="preserve"> See above, n.</w:t>
      </w:r>
      <w:r>
        <w:rPr>
          <w:rFonts w:eastAsia="Arial Unicode MS" w:cs="Arial Unicode MS"/>
        </w:rPr>
        <w:fldChar w:fldCharType="begin"/>
      </w:r>
      <w:r>
        <w:rPr>
          <w:rFonts w:eastAsia="Arial Unicode MS" w:cs="Arial Unicode MS"/>
        </w:rPr>
        <w:instrText xml:space="preserve"> NOTEREF _Ref498174346 \h </w:instrText>
      </w:r>
      <w:r>
        <w:rPr>
          <w:rFonts w:eastAsia="Arial Unicode MS" w:cs="Arial Unicode MS"/>
        </w:rPr>
      </w:r>
      <w:r>
        <w:rPr>
          <w:rFonts w:eastAsia="Arial Unicode MS" w:cs="Arial Unicode MS"/>
        </w:rPr>
        <w:fldChar w:fldCharType="separate"/>
      </w:r>
      <w:r w:rsidR="00D10211">
        <w:rPr>
          <w:rFonts w:eastAsia="Arial Unicode MS" w:cs="Arial Unicode MS"/>
        </w:rPr>
        <w:t>14</w:t>
      </w:r>
      <w:r>
        <w:rPr>
          <w:rFonts w:eastAsia="Arial Unicode MS" w:cs="Arial Unicode MS"/>
        </w:rPr>
        <w:fldChar w:fldCharType="end"/>
      </w:r>
      <w:r>
        <w:rPr>
          <w:rFonts w:eastAsia="Arial Unicode MS" w:cs="Arial Unicode MS"/>
        </w:rPr>
        <w:t>.</w:t>
      </w:r>
    </w:p>
  </w:footnote>
  <w:footnote w:id="62">
    <w:p w:rsidR="004F3A38" w:rsidRDefault="004F3A38" w:rsidP="00B16B39">
      <w:pPr>
        <w:pStyle w:val="footnote"/>
      </w:pPr>
      <w:r>
        <w:rPr>
          <w:vertAlign w:val="superscript"/>
        </w:rPr>
        <w:footnoteRef/>
      </w:r>
      <w:r>
        <w:rPr>
          <w:rFonts w:eastAsia="Arial Unicode MS" w:cs="Arial Unicode MS"/>
        </w:rPr>
        <w:t xml:space="preserve"> See above</w:t>
      </w:r>
      <w:r>
        <w:rPr>
          <w:rFonts w:eastAsia="Arial Unicode MS" w:cs="Arial Unicode MS"/>
          <w:i/>
          <w:iCs/>
        </w:rPr>
        <w:t xml:space="preserve">, </w:t>
      </w:r>
      <w:r>
        <w:rPr>
          <w:rFonts w:eastAsia="Arial Unicode MS" w:cs="Arial Unicode MS"/>
        </w:rPr>
        <w:t xml:space="preserve">n. </w:t>
      </w:r>
      <w:r>
        <w:rPr>
          <w:rFonts w:eastAsia="Arial Unicode MS" w:cs="Arial Unicode MS"/>
        </w:rPr>
        <w:fldChar w:fldCharType="begin"/>
      </w:r>
      <w:r>
        <w:rPr>
          <w:rFonts w:eastAsia="Arial Unicode MS" w:cs="Arial Unicode MS"/>
        </w:rPr>
        <w:instrText xml:space="preserve"> NOTEREF _Ref501712678 \h </w:instrText>
      </w:r>
      <w:r>
        <w:rPr>
          <w:rFonts w:eastAsia="Arial Unicode MS" w:cs="Arial Unicode MS"/>
        </w:rPr>
      </w:r>
      <w:r>
        <w:rPr>
          <w:rFonts w:eastAsia="Arial Unicode MS" w:cs="Arial Unicode MS"/>
        </w:rPr>
        <w:fldChar w:fldCharType="separate"/>
      </w:r>
      <w:r w:rsidR="00D10211">
        <w:rPr>
          <w:rFonts w:eastAsia="Arial Unicode MS" w:cs="Arial Unicode MS"/>
        </w:rPr>
        <w:t>20</w:t>
      </w:r>
      <w:r>
        <w:rPr>
          <w:rFonts w:eastAsia="Arial Unicode MS" w:cs="Arial Unicode MS"/>
        </w:rPr>
        <w:fldChar w:fldCharType="end"/>
      </w:r>
      <w:r>
        <w:rPr>
          <w:rFonts w:eastAsia="Arial Unicode MS" w:cs="Arial Unicode MS"/>
        </w:rPr>
        <w:t>.</w:t>
      </w:r>
    </w:p>
  </w:footnote>
  <w:footnote w:id="63">
    <w:p w:rsidR="004F3A38" w:rsidRPr="009F43D2" w:rsidRDefault="004F3A38" w:rsidP="00737A0E">
      <w:pPr>
        <w:pStyle w:val="footnote"/>
      </w:pPr>
      <w:r w:rsidRPr="00737A0E">
        <w:rPr>
          <w:bCs/>
          <w:iCs/>
          <w:szCs w:val="18"/>
          <w:vertAlign w:val="superscript"/>
        </w:rPr>
        <w:footnoteRef/>
      </w:r>
      <w:r w:rsidRPr="00737A0E">
        <w:rPr>
          <w:rFonts w:eastAsia="Arial Unicode MS" w:hAnsi="Arial Unicode MS" w:cs="Arial Unicode MS"/>
          <w:szCs w:val="18"/>
        </w:rPr>
        <w:t xml:space="preserve"> </w:t>
      </w:r>
      <w:r w:rsidRPr="00397914">
        <w:t>Principal Parliamentary Counsel, Parliamentary Counsel Office, Wellington, New Zealand. The author thanks Ross Carter, Scott Murray, Cassie Nicholson, and Stephen Rivers-McCombs of the Parliamentary Counsel Office, Wellington and Andrew Irwin, Ba</w:t>
      </w:r>
      <w:r>
        <w:t>r</w:t>
      </w:r>
      <w:r w:rsidRPr="00397914">
        <w:t>rister</w:t>
      </w:r>
      <w:r>
        <w:t>,</w:t>
      </w:r>
      <w:r w:rsidRPr="00397914">
        <w:t xml:space="preserve"> for their valuable comments on earlier drafts of this paper and Reuben Holcroft for his perceptive editorial feedback</w:t>
      </w:r>
      <w:r>
        <w:rPr>
          <w:rFonts w:eastAsia="Arial Unicode MS" w:hAnsi="Arial Unicode MS" w:cs="Arial Unicode MS"/>
          <w:szCs w:val="18"/>
        </w:rPr>
        <w:t>.</w:t>
      </w:r>
    </w:p>
  </w:footnote>
  <w:footnote w:id="64">
    <w:p w:rsidR="004F3A38" w:rsidRPr="009546A2" w:rsidRDefault="004F3A38" w:rsidP="00397914">
      <w:pPr>
        <w:pStyle w:val="footnote"/>
      </w:pPr>
      <w:r>
        <w:rPr>
          <w:rStyle w:val="FootnoteReference"/>
        </w:rPr>
        <w:footnoteRef/>
      </w:r>
      <w:r>
        <w:t xml:space="preserve"> </w:t>
      </w:r>
      <w:r w:rsidRPr="009546A2">
        <w:t xml:space="preserve">Statistics New Zealand, 2013 Census: approximately 75% of the </w:t>
      </w:r>
      <w:r>
        <w:t xml:space="preserve">total </w:t>
      </w:r>
      <w:r w:rsidRPr="009546A2">
        <w:t>population</w:t>
      </w:r>
      <w:r>
        <w:t xml:space="preserve"> of 4.5 million identifies</w:t>
      </w:r>
      <w:r w:rsidRPr="009546A2">
        <w:t xml:space="preserve"> as being of European heritage, 15% as being of Māori heritage</w:t>
      </w:r>
      <w:r>
        <w:t xml:space="preserve"> (ca 600,000)</w:t>
      </w:r>
      <w:r w:rsidRPr="009546A2">
        <w:t xml:space="preserve">, 12% as being of Asian heritage, and 7% as being of Pacific heritage. </w:t>
      </w:r>
    </w:p>
    <w:p w:rsidR="004F3A38" w:rsidRPr="009546A2" w:rsidRDefault="004F3A38" w:rsidP="00397914">
      <w:pPr>
        <w:pStyle w:val="footnote"/>
      </w:pPr>
      <w:r>
        <w:t xml:space="preserve">In relation to </w:t>
      </w:r>
      <w:r w:rsidRPr="009546A2">
        <w:rPr>
          <w:i/>
        </w:rPr>
        <w:t>te reo Māori</w:t>
      </w:r>
      <w:r w:rsidRPr="009546A2">
        <w:t xml:space="preserve"> </w:t>
      </w:r>
      <w:r>
        <w:t>(</w:t>
      </w:r>
      <w:r w:rsidRPr="009546A2">
        <w:t>the Māori language</w:t>
      </w:r>
      <w:r>
        <w:t>)</w:t>
      </w:r>
      <w:r w:rsidRPr="009546A2">
        <w:t xml:space="preserve"> Statistics New Zealand, 2013 census data NZ Social Indicators – Culture and Identity</w:t>
      </w:r>
      <w:r>
        <w:t xml:space="preserve"> show</w:t>
      </w:r>
      <w:r w:rsidRPr="009546A2">
        <w:t>:</w:t>
      </w:r>
    </w:p>
    <w:p w:rsidR="004F3A38" w:rsidRPr="00C32E53" w:rsidRDefault="004F3A38" w:rsidP="00397914">
      <w:pPr>
        <w:pStyle w:val="Footnotebullet"/>
        <w:rPr>
          <w:i/>
        </w:rPr>
      </w:pPr>
      <w:r w:rsidRPr="00C32E53">
        <w:t>21% of persons identifying as Māori are able to hold a conversation about everyday things in the language – in the age group 80</w:t>
      </w:r>
      <w:r w:rsidRPr="00C32E53">
        <w:rPr>
          <w:rFonts w:cs="Courier New"/>
        </w:rPr>
        <w:t>-</w:t>
      </w:r>
      <w:r w:rsidRPr="00C32E53">
        <w:t>84 years</w:t>
      </w:r>
      <w:r>
        <w:t>,</w:t>
      </w:r>
      <w:r w:rsidRPr="00C32E53">
        <w:t xml:space="preserve"> the figure is 46%, but in the group 10</w:t>
      </w:r>
      <w:r w:rsidRPr="00C32E53">
        <w:rPr>
          <w:rFonts w:cs="Courier New"/>
        </w:rPr>
        <w:t>-</w:t>
      </w:r>
      <w:r w:rsidRPr="00C32E53">
        <w:t>19 years</w:t>
      </w:r>
      <w:r>
        <w:t>,</w:t>
      </w:r>
      <w:r w:rsidRPr="00C32E53">
        <w:t xml:space="preserve"> it is 19% (2013 census)</w:t>
      </w:r>
    </w:p>
    <w:p w:rsidR="004F3A38" w:rsidRPr="00023F8A" w:rsidRDefault="004F3A38" w:rsidP="00397914">
      <w:pPr>
        <w:pStyle w:val="Footnotebullet"/>
        <w:rPr>
          <w:i/>
        </w:rPr>
      </w:pPr>
      <w:r w:rsidRPr="00C32E53">
        <w:t>across the total population aged 10</w:t>
      </w:r>
      <w:r w:rsidRPr="00C32E53">
        <w:rPr>
          <w:rFonts w:cs="Courier New"/>
        </w:rPr>
        <w:t>-</w:t>
      </w:r>
      <w:r w:rsidRPr="00C32E53">
        <w:t>19 years, the ability to hold that conversation is down to less than 5%, reducing to 3.73% for t</w:t>
      </w:r>
      <w:r>
        <w:t>he whole population of all ages</w:t>
      </w:r>
      <w:r w:rsidRPr="00C32E53">
        <w:t>.</w:t>
      </w:r>
    </w:p>
  </w:footnote>
  <w:footnote w:id="65">
    <w:p w:rsidR="004F3A38" w:rsidRDefault="004F3A38" w:rsidP="00397914">
      <w:pPr>
        <w:pStyle w:val="footnote"/>
      </w:pPr>
      <w:r>
        <w:rPr>
          <w:rStyle w:val="FootnoteReference"/>
        </w:rPr>
        <w:footnoteRef/>
      </w:r>
      <w:r>
        <w:t xml:space="preserve"> </w:t>
      </w:r>
      <w:r w:rsidRPr="00762A1B">
        <w:rPr>
          <w:szCs w:val="18"/>
        </w:rPr>
        <w:t xml:space="preserve">The </w:t>
      </w:r>
      <w:r w:rsidRPr="00397914">
        <w:rPr>
          <w:rStyle w:val="FooterChar"/>
          <w:i/>
          <w:sz w:val="18"/>
          <w:szCs w:val="18"/>
        </w:rPr>
        <w:t>iwi</w:t>
      </w:r>
      <w:r w:rsidRPr="00762A1B">
        <w:rPr>
          <w:rStyle w:val="FooterChar"/>
          <w:sz w:val="18"/>
          <w:szCs w:val="18"/>
        </w:rPr>
        <w:t xml:space="preserve"> of New Zealand comprise 10 groups based on the canoes that came to New Zealand in the historic past</w:t>
      </w:r>
      <w:r w:rsidRPr="00762A1B">
        <w:rPr>
          <w:szCs w:val="18"/>
        </w:rPr>
        <w:t>.</w:t>
      </w:r>
      <w:r>
        <w:t xml:space="preserve"> For the purposes of distributing fisheries assets to iwi, the iwi and notional populations of </w:t>
      </w:r>
      <w:r w:rsidRPr="00646A61">
        <w:t>Māori</w:t>
      </w:r>
      <w:r>
        <w:t xml:space="preserve"> as at 2004 are listed in Schedule 3 of the </w:t>
      </w:r>
      <w:r w:rsidRPr="00744328">
        <w:rPr>
          <w:i/>
        </w:rPr>
        <w:t>Maori Fisheries Act 2004</w:t>
      </w:r>
      <w:r>
        <w:t>. Not all Māori identify with an iwi.</w:t>
      </w:r>
    </w:p>
  </w:footnote>
  <w:footnote w:id="66">
    <w:p w:rsidR="004F3A38" w:rsidRDefault="004F3A38" w:rsidP="00397914">
      <w:pPr>
        <w:pStyle w:val="footnote"/>
      </w:pPr>
      <w:r>
        <w:rPr>
          <w:rStyle w:val="FootnoteReference"/>
        </w:rPr>
        <w:footnoteRef/>
      </w:r>
      <w:r>
        <w:t xml:space="preserve"> Justice Joseph Williams “Lex Aotearoa: An Heroic Attempt to Map the Māori Dimension in Modern New Zealand Law” </w:t>
      </w:r>
      <w:r>
        <w:rPr>
          <w:lang w:val="en-CA"/>
        </w:rPr>
        <w:t>[</w:t>
      </w:r>
      <w:r>
        <w:t xml:space="preserve">Henry Harkness Lecture, Waikato University] (2013), </w:t>
      </w:r>
      <w:hyperlink r:id="rId10" w:history="1">
        <w:r w:rsidRPr="000B1EC8">
          <w:rPr>
            <w:rStyle w:val="Hyperlink"/>
          </w:rPr>
          <w:t xml:space="preserve">21 </w:t>
        </w:r>
        <w:r w:rsidRPr="00744328">
          <w:rPr>
            <w:rStyle w:val="Hyperlink"/>
            <w:i/>
          </w:rPr>
          <w:t>Waikato Law Review</w:t>
        </w:r>
        <w:r w:rsidRPr="000B1EC8">
          <w:rPr>
            <w:rStyle w:val="Hyperlink"/>
          </w:rPr>
          <w:t xml:space="preserve"> 1</w:t>
        </w:r>
      </w:hyperlink>
      <w:r>
        <w:t xml:space="preserve"> at 21 refers to this law as “the law of Kupe”, the ancestor credited in mythology as being one of the two Pacific navigators who discovered Aotearoa as a place to settle the peoples of various Pacific Islands.</w:t>
      </w:r>
    </w:p>
  </w:footnote>
  <w:footnote w:id="67">
    <w:p w:rsidR="004F3A38" w:rsidRPr="00096862" w:rsidRDefault="004F3A38" w:rsidP="00397914">
      <w:pPr>
        <w:pStyle w:val="footnote"/>
      </w:pPr>
      <w:r>
        <w:rPr>
          <w:rStyle w:val="FootnoteReference"/>
        </w:rPr>
        <w:footnoteRef/>
      </w:r>
      <w:r>
        <w:t xml:space="preserve"> R D Crosby, </w:t>
      </w:r>
      <w:r w:rsidRPr="00744328">
        <w:rPr>
          <w:i/>
        </w:rPr>
        <w:t>The Musket Wars: A History of Inter-iwi Conflict 1806</w:t>
      </w:r>
      <w:r w:rsidRPr="00744328">
        <w:rPr>
          <w:rFonts w:ascii="Courier New" w:hAnsi="Courier New" w:cs="Courier New"/>
          <w:i/>
        </w:rPr>
        <w:t>-</w:t>
      </w:r>
      <w:r w:rsidRPr="00744328">
        <w:rPr>
          <w:i/>
        </w:rPr>
        <w:t>45</w:t>
      </w:r>
      <w:r>
        <w:t xml:space="preserve"> (Reed: Auckland, 1999).</w:t>
      </w:r>
    </w:p>
  </w:footnote>
  <w:footnote w:id="68">
    <w:p w:rsidR="004F3A38" w:rsidRPr="00FA5221" w:rsidRDefault="004F3A38" w:rsidP="00397914">
      <w:pPr>
        <w:pStyle w:val="footnote"/>
      </w:pPr>
      <w:r>
        <w:rPr>
          <w:rStyle w:val="FootnoteReference"/>
        </w:rPr>
        <w:footnoteRef/>
      </w:r>
      <w:r>
        <w:t xml:space="preserve"> A H McLintock, </w:t>
      </w:r>
      <w:r w:rsidRPr="00744328">
        <w:rPr>
          <w:i/>
        </w:rPr>
        <w:t>Crown Colony Government in New Zealand</w:t>
      </w:r>
      <w:r>
        <w:t xml:space="preserve"> (Government Printer: Wellington, 1958) at 17.</w:t>
      </w:r>
    </w:p>
  </w:footnote>
  <w:footnote w:id="69">
    <w:p w:rsidR="004F3A38" w:rsidRPr="00A4712C" w:rsidRDefault="004F3A38" w:rsidP="00397914">
      <w:pPr>
        <w:pStyle w:val="footnote"/>
        <w:rPr>
          <w:u w:val="single"/>
        </w:rPr>
      </w:pPr>
      <w:r>
        <w:rPr>
          <w:rStyle w:val="FootnoteReference"/>
        </w:rPr>
        <w:footnoteRef/>
      </w:r>
      <w:r>
        <w:t xml:space="preserve"> This brief historical synopsis is indebted to Claudia Orange, </w:t>
      </w:r>
      <w:r w:rsidRPr="00744328">
        <w:rPr>
          <w:i/>
        </w:rPr>
        <w:t>The Treaty of Waitangi</w:t>
      </w:r>
      <w:r>
        <w:t xml:space="preserve"> (Bridget Williams Books: Wellington 1987), chapters 3 and 4; Michael King</w:t>
      </w:r>
      <w:r w:rsidRPr="00542C90">
        <w:t xml:space="preserve">, </w:t>
      </w:r>
      <w:r w:rsidRPr="00744328">
        <w:rPr>
          <w:i/>
        </w:rPr>
        <w:t>Penguin History of New Zealand</w:t>
      </w:r>
      <w:r w:rsidRPr="00A4712C">
        <w:t xml:space="preserve"> (Penguin</w:t>
      </w:r>
      <w:r>
        <w:t xml:space="preserve">: Auckland, </w:t>
      </w:r>
      <w:r w:rsidRPr="00A4712C">
        <w:t>2003)</w:t>
      </w:r>
      <w:r>
        <w:t xml:space="preserve">, chapter 11 and Matthew Palmer, </w:t>
      </w:r>
      <w:r w:rsidRPr="00744328">
        <w:rPr>
          <w:i/>
        </w:rPr>
        <w:t>The Treaty of Waitangi in New Zealand’s Law and Constitution</w:t>
      </w:r>
      <w:r>
        <w:t xml:space="preserve"> (Victoria University Press: Wellington, 2008).</w:t>
      </w:r>
    </w:p>
  </w:footnote>
  <w:footnote w:id="70">
    <w:p w:rsidR="004F3A38" w:rsidRDefault="004F3A38" w:rsidP="00397914">
      <w:pPr>
        <w:pStyle w:val="footnote"/>
      </w:pPr>
      <w:r>
        <w:rPr>
          <w:rStyle w:val="FootnoteReference"/>
        </w:rPr>
        <w:footnoteRef/>
      </w:r>
      <w:r>
        <w:t xml:space="preserve"> Translation of the Māori text by Professor Sir Hugh Kawharu, published in </w:t>
      </w:r>
      <w:r>
        <w:rPr>
          <w:i/>
        </w:rPr>
        <w:t xml:space="preserve">He Tirohanga ō Kawa kit e Tiriti O Waitangi </w:t>
      </w:r>
      <w:r w:rsidRPr="000C5DAA">
        <w:t>(Te Puni Kōkiri</w:t>
      </w:r>
      <w:r>
        <w:t>,</w:t>
      </w:r>
      <w:r w:rsidRPr="000C5DAA">
        <w:t xml:space="preserve"> 2001)</w:t>
      </w:r>
      <w:r>
        <w:t xml:space="preserve"> 12. See </w:t>
      </w:r>
      <w:r w:rsidRPr="001C3CEA">
        <w:t>http://tiritiowaitangi.govt.nz/treaty/translation.pdf</w:t>
      </w:r>
      <w:r>
        <w:t>.</w:t>
      </w:r>
    </w:p>
  </w:footnote>
  <w:footnote w:id="71">
    <w:p w:rsidR="004F3A38" w:rsidRDefault="004F3A38" w:rsidP="00397914">
      <w:pPr>
        <w:pStyle w:val="footnote"/>
      </w:pPr>
      <w:r>
        <w:rPr>
          <w:rStyle w:val="FootnoteReference"/>
        </w:rPr>
        <w:footnoteRef/>
      </w:r>
      <w:r>
        <w:t xml:space="preserve"> The notes Sir Hugh prepared on the Māori version emphasise that many of the terms of the Treaty would have been unfamiliar to Māori, at least in the sense that the English version suggests was intended. This issue is considered in detail in D F McKenzie, </w:t>
      </w:r>
      <w:r w:rsidRPr="003C5A7A">
        <w:rPr>
          <w:i/>
        </w:rPr>
        <w:t>Oral Culture, Literacy and Print in Early New Zealand: the Treaty of Waitangi</w:t>
      </w:r>
      <w:r>
        <w:t xml:space="preserve"> (Victoria University Press with Alexander Turnbull Library Endowment Trust: Wellington, 1985).</w:t>
      </w:r>
    </w:p>
  </w:footnote>
  <w:footnote w:id="72">
    <w:p w:rsidR="004F3A38" w:rsidRDefault="004F3A38" w:rsidP="00397914">
      <w:pPr>
        <w:pStyle w:val="footnote"/>
      </w:pPr>
      <w:r>
        <w:rPr>
          <w:rStyle w:val="FootnoteReference"/>
        </w:rPr>
        <w:footnoteRef/>
      </w:r>
      <w:r>
        <w:t xml:space="preserve">  A H McLintock, above n. </w:t>
      </w:r>
      <w:r>
        <w:fldChar w:fldCharType="begin"/>
      </w:r>
      <w:r>
        <w:instrText xml:space="preserve"> NOTEREF _Ref499144557 \h </w:instrText>
      </w:r>
      <w:r>
        <w:fldChar w:fldCharType="separate"/>
      </w:r>
      <w:r w:rsidR="00D10211">
        <w:t>6</w:t>
      </w:r>
      <w:r>
        <w:fldChar w:fldCharType="end"/>
      </w:r>
      <w:r>
        <w:t xml:space="preserve"> at 98</w:t>
      </w:r>
      <w:r>
        <w:rPr>
          <w:rFonts w:ascii="Courier New" w:hAnsi="Courier New" w:cs="Courier New"/>
        </w:rPr>
        <w:t>-</w:t>
      </w:r>
      <w:r>
        <w:t>105; Ross Carter “Regulations and Other Subordinate Legislative Instruments: Drafting, Publication, Interpretation and Disallowance”, New Zealand Centre for Public Law, Victoria University of Wellington, Occasional paper No 20 (December 2010) 1</w:t>
      </w:r>
      <w:r>
        <w:rPr>
          <w:rFonts w:ascii="Courier New" w:hAnsi="Courier New" w:cs="Courier New"/>
        </w:rPr>
        <w:t>-</w:t>
      </w:r>
      <w:r>
        <w:t>6.</w:t>
      </w:r>
    </w:p>
  </w:footnote>
  <w:footnote w:id="73">
    <w:p w:rsidR="004F3A38" w:rsidRDefault="004F3A38" w:rsidP="00397914">
      <w:pPr>
        <w:pStyle w:val="footnote"/>
      </w:pPr>
      <w:r>
        <w:rPr>
          <w:rStyle w:val="FootnoteReference"/>
        </w:rPr>
        <w:footnoteRef/>
      </w:r>
      <w:r>
        <w:t xml:space="preserve"> “Charter for erecting the Colony of New Zealand and for creating and establishing a Legislative Council and an Executive Council, and for granting certain powers and authorities to the Governor for the time being of the said Colony”, British Parliamentary Papers, Vol 3 (correspondence and papers relating to New Zealand, 1835−42, Irish University Press) at 31−33.</w:t>
      </w:r>
    </w:p>
  </w:footnote>
  <w:footnote w:id="74">
    <w:p w:rsidR="004F3A38" w:rsidRDefault="004F3A38" w:rsidP="00397914">
      <w:pPr>
        <w:pStyle w:val="footnote"/>
      </w:pPr>
      <w:r>
        <w:rPr>
          <w:rStyle w:val="FootnoteReference"/>
        </w:rPr>
        <w:footnoteRef/>
      </w:r>
      <w:r>
        <w:t xml:space="preserve"> The Parliament, called the General Assembly, consisted of the Governor, the House of Representatives (the representative body), and the Legislative Council (an appointed Upper House): </w:t>
      </w:r>
      <w:r w:rsidRPr="00744328">
        <w:rPr>
          <w:i/>
        </w:rPr>
        <w:t>Constitution Act 1852</w:t>
      </w:r>
      <w:r>
        <w:t>, 15 and 16 Vict, cap 72, 30 June 1852, s 32.</w:t>
      </w:r>
    </w:p>
  </w:footnote>
  <w:footnote w:id="75">
    <w:p w:rsidR="004F3A38" w:rsidRDefault="004F3A38" w:rsidP="00397914">
      <w:pPr>
        <w:pStyle w:val="footnote"/>
      </w:pPr>
      <w:r>
        <w:rPr>
          <w:rStyle w:val="FootnoteReference"/>
        </w:rPr>
        <w:footnoteRef/>
      </w:r>
      <w:r>
        <w:t xml:space="preserve">  </w:t>
      </w:r>
      <w:r w:rsidRPr="00744328">
        <w:rPr>
          <w:i/>
        </w:rPr>
        <w:t>Constitution Act 1852</w:t>
      </w:r>
      <w:r>
        <w:t>, 15 and 16 Vict, cap 72, 30 June 1852, s 71.</w:t>
      </w:r>
    </w:p>
  </w:footnote>
  <w:footnote w:id="76">
    <w:p w:rsidR="004F3A38" w:rsidRDefault="004F3A38" w:rsidP="00397914">
      <w:pPr>
        <w:pStyle w:val="footnote"/>
      </w:pPr>
      <w:r>
        <w:rPr>
          <w:rStyle w:val="FootnoteReference"/>
        </w:rPr>
        <w:footnoteRef/>
      </w:r>
      <w:r>
        <w:t xml:space="preserve"> Michael King, above n. </w:t>
      </w:r>
      <w:r>
        <w:fldChar w:fldCharType="begin"/>
      </w:r>
      <w:r>
        <w:instrText xml:space="preserve"> NOTEREF _Ref499144583 \h </w:instrText>
      </w:r>
      <w:r>
        <w:fldChar w:fldCharType="separate"/>
      </w:r>
      <w:r w:rsidR="00D10211">
        <w:t>7</w:t>
      </w:r>
      <w:r>
        <w:fldChar w:fldCharType="end"/>
      </w:r>
      <w:r>
        <w:t xml:space="preserve"> at 203.</w:t>
      </w:r>
    </w:p>
  </w:footnote>
  <w:footnote w:id="77">
    <w:p w:rsidR="004F3A38" w:rsidRDefault="004F3A38" w:rsidP="00397914">
      <w:pPr>
        <w:pStyle w:val="footnote"/>
      </w:pPr>
      <w:r w:rsidRPr="00744328">
        <w:rPr>
          <w:rStyle w:val="footnoteChar"/>
          <w:vertAlign w:val="superscript"/>
        </w:rPr>
        <w:footnoteRef/>
      </w:r>
      <w:r w:rsidRPr="00762A1B">
        <w:rPr>
          <w:rStyle w:val="footnoteChar"/>
        </w:rPr>
        <w:t xml:space="preserve"> Phil Parkinson, “Strangers in the House</w:t>
      </w:r>
      <w:r>
        <w:rPr>
          <w:rStyle w:val="footnoteChar"/>
        </w:rPr>
        <w:t>”</w:t>
      </w:r>
      <w:r w:rsidRPr="00762A1B">
        <w:rPr>
          <w:rStyle w:val="footnoteChar"/>
        </w:rPr>
        <w:t>: the Maori Language in Government and the Maori</w:t>
      </w:r>
      <w:r>
        <w:t xml:space="preserve"> Language in Parliament 1865</w:t>
      </w:r>
      <w:r>
        <w:rPr>
          <w:rFonts w:ascii="Courier New" w:hAnsi="Courier New" w:cs="Courier New"/>
        </w:rPr>
        <w:t>-</w:t>
      </w:r>
      <w:r>
        <w:t xml:space="preserve">1900 (2001) 32(3) </w:t>
      </w:r>
      <w:r w:rsidRPr="003C5A7A">
        <w:rPr>
          <w:i/>
        </w:rPr>
        <w:t>V</w:t>
      </w:r>
      <w:r>
        <w:rPr>
          <w:i/>
        </w:rPr>
        <w:t xml:space="preserve">ictoria </w:t>
      </w:r>
      <w:r w:rsidRPr="003C5A7A">
        <w:rPr>
          <w:i/>
        </w:rPr>
        <w:t>U</w:t>
      </w:r>
      <w:r>
        <w:rPr>
          <w:i/>
        </w:rPr>
        <w:t xml:space="preserve">niversity of </w:t>
      </w:r>
      <w:r w:rsidRPr="003C5A7A">
        <w:rPr>
          <w:i/>
        </w:rPr>
        <w:t>W</w:t>
      </w:r>
      <w:r>
        <w:rPr>
          <w:i/>
        </w:rPr>
        <w:t xml:space="preserve">ellington </w:t>
      </w:r>
      <w:r w:rsidRPr="003C5A7A">
        <w:rPr>
          <w:i/>
        </w:rPr>
        <w:t>L</w:t>
      </w:r>
      <w:r>
        <w:rPr>
          <w:i/>
        </w:rPr>
        <w:t xml:space="preserve">aw </w:t>
      </w:r>
      <w:r w:rsidRPr="003C5A7A">
        <w:rPr>
          <w:i/>
        </w:rPr>
        <w:t>R</w:t>
      </w:r>
      <w:r>
        <w:rPr>
          <w:i/>
        </w:rPr>
        <w:t>eview</w:t>
      </w:r>
      <w:r w:rsidRPr="003C5A7A">
        <w:rPr>
          <w:i/>
        </w:rPr>
        <w:t xml:space="preserve"> Monograph</w:t>
      </w:r>
      <w:r>
        <w:t>, 11</w:t>
      </w:r>
      <w:r>
        <w:rPr>
          <w:rFonts w:ascii="Courier New" w:hAnsi="Courier New" w:cs="Courier New"/>
        </w:rPr>
        <w:t>-</w:t>
      </w:r>
      <w:r>
        <w:t>13.</w:t>
      </w:r>
    </w:p>
  </w:footnote>
  <w:footnote w:id="78">
    <w:p w:rsidR="004F3A38" w:rsidRDefault="004F3A38" w:rsidP="00397914">
      <w:pPr>
        <w:pStyle w:val="footnote"/>
      </w:pPr>
      <w:r>
        <w:rPr>
          <w:rStyle w:val="FootnoteReference"/>
        </w:rPr>
        <w:footnoteRef/>
      </w:r>
      <w:r>
        <w:t xml:space="preserve"> These were the Native Councils Bill, the Native Lands Bill, and the Native Reserves Bill: Phil Parkinson, ibid.. Parkinson gives details of the translations made available later in the century, highlighting the unsatisfactory nature of the translations, particularly on account of the coining of “Maorish” language, neologisms which needed to be defined as to meaning.</w:t>
      </w:r>
    </w:p>
  </w:footnote>
  <w:footnote w:id="79">
    <w:p w:rsidR="004F3A38" w:rsidRDefault="004F3A38" w:rsidP="00397914">
      <w:pPr>
        <w:pStyle w:val="footnote"/>
      </w:pPr>
      <w:r>
        <w:rPr>
          <w:rStyle w:val="FootnoteReference"/>
        </w:rPr>
        <w:footnoteRef/>
      </w:r>
      <w:r>
        <w:t xml:space="preserve"> The </w:t>
      </w:r>
      <w:r w:rsidRPr="00744328">
        <w:rPr>
          <w:i/>
        </w:rPr>
        <w:t>Suppression of Rebellion Act 1863</w:t>
      </w:r>
      <w:r>
        <w:t xml:space="preserve"> and </w:t>
      </w:r>
      <w:r w:rsidRPr="00744328">
        <w:rPr>
          <w:i/>
        </w:rPr>
        <w:t>New Zealand Settlements Act 1863</w:t>
      </w:r>
      <w:r>
        <w:t>.</w:t>
      </w:r>
    </w:p>
  </w:footnote>
  <w:footnote w:id="80">
    <w:p w:rsidR="004F3A38" w:rsidRPr="00CF2711" w:rsidRDefault="004F3A38" w:rsidP="00397914">
      <w:pPr>
        <w:pStyle w:val="footnote"/>
      </w:pPr>
      <w:r>
        <w:rPr>
          <w:rStyle w:val="FootnoteReference"/>
        </w:rPr>
        <w:footnoteRef/>
      </w:r>
      <w:r>
        <w:t xml:space="preserve"> </w:t>
      </w:r>
      <w:r w:rsidRPr="003F70DB">
        <w:t>As</w:t>
      </w:r>
      <w:r>
        <w:t xml:space="preserve"> early as 1841, the Chief Justice of the new colony had recognised that a distinctive land tenure system applied in Māori society and exhorted officials to pay attention to those traditional norms when attempting to purchase land. In 1847, the Judicial Committee of the Privy Council held that the law of aboriginal title and the obligations flowing from it were applicable in the colony: </w:t>
      </w:r>
      <w:r>
        <w:rPr>
          <w:i/>
        </w:rPr>
        <w:t>Queen v Symonds</w:t>
      </w:r>
      <w:r w:rsidRPr="00F93245">
        <w:t xml:space="preserve"> (1847) NZCPP 387.</w:t>
      </w:r>
      <w:r>
        <w:t xml:space="preserve"> That view has continued to be endorsed by the New Zealand courts as in </w:t>
      </w:r>
      <w:r>
        <w:rPr>
          <w:i/>
        </w:rPr>
        <w:t>Proprietors of Wakatu v Attorney-General</w:t>
      </w:r>
      <w:r>
        <w:t xml:space="preserve"> [2017] NZSC 17, [104]</w:t>
      </w:r>
      <w:r>
        <w:rPr>
          <w:rFonts w:ascii="Courier New" w:hAnsi="Courier New" w:cs="Courier New"/>
        </w:rPr>
        <w:t>-</w:t>
      </w:r>
      <w:r>
        <w:t xml:space="preserve">[107] per Elias CJ; [510-511] per Glazebrook J. </w:t>
      </w:r>
    </w:p>
  </w:footnote>
  <w:footnote w:id="81">
    <w:p w:rsidR="004F3A38" w:rsidRDefault="004F3A38" w:rsidP="00397914">
      <w:pPr>
        <w:pStyle w:val="footnote"/>
      </w:pPr>
      <w:r>
        <w:rPr>
          <w:rStyle w:val="FootnoteReference"/>
        </w:rPr>
        <w:footnoteRef/>
      </w:r>
      <w:r>
        <w:t xml:space="preserve"> Richard Hill, “Settlements of Major Maori Claims in the 1940’s: Preliminary Historical Investigation” (Department of Justice: Wellington, 8 November 1989), accessed at </w:t>
      </w:r>
      <w:hyperlink r:id="rId11" w:history="1">
        <w:r w:rsidRPr="00646A61">
          <w:rPr>
            <w:rStyle w:val="Hyperlink"/>
            <w:rFonts w:eastAsia="MS Gothic"/>
          </w:rPr>
          <w:t>www.nzcpr.com/wp-content/uploads/2013/01/Richard-Hills-Report.pdf</w:t>
        </w:r>
      </w:hyperlink>
    </w:p>
  </w:footnote>
  <w:footnote w:id="82">
    <w:p w:rsidR="004F3A38" w:rsidRDefault="004F3A38" w:rsidP="00397914">
      <w:pPr>
        <w:pStyle w:val="footnote"/>
      </w:pPr>
      <w:r>
        <w:rPr>
          <w:rStyle w:val="FootnoteReference"/>
        </w:rPr>
        <w:footnoteRef/>
      </w:r>
      <w:r>
        <w:t xml:space="preserve"> </w:t>
      </w:r>
      <w:r w:rsidRPr="00744328">
        <w:rPr>
          <w:i/>
        </w:rPr>
        <w:t>Treaty of Waitangi Act 1975</w:t>
      </w:r>
      <w:r>
        <w:t>.</w:t>
      </w:r>
    </w:p>
  </w:footnote>
  <w:footnote w:id="83">
    <w:p w:rsidR="004F3A38" w:rsidRDefault="004F3A38" w:rsidP="00397914">
      <w:pPr>
        <w:pStyle w:val="footnote"/>
      </w:pPr>
      <w:r>
        <w:rPr>
          <w:rStyle w:val="FootnoteReference"/>
        </w:rPr>
        <w:footnoteRef/>
      </w:r>
      <w:r>
        <w:t xml:space="preserve"> </w:t>
      </w:r>
      <w:r w:rsidRPr="00744328">
        <w:rPr>
          <w:i/>
        </w:rPr>
        <w:t>Treaty of Waitangi Amendment Act 1985</w:t>
      </w:r>
      <w:r>
        <w:t>, s 3.</w:t>
      </w:r>
    </w:p>
  </w:footnote>
  <w:footnote w:id="84">
    <w:p w:rsidR="004F3A38" w:rsidRDefault="004F3A38" w:rsidP="00397914">
      <w:pPr>
        <w:pStyle w:val="footnote"/>
      </w:pPr>
      <w:r>
        <w:rPr>
          <w:rStyle w:val="FootnoteReference"/>
        </w:rPr>
        <w:footnoteRef/>
      </w:r>
      <w:r>
        <w:t xml:space="preserve"> Long title to the </w:t>
      </w:r>
      <w:r w:rsidRPr="00744328">
        <w:rPr>
          <w:i/>
        </w:rPr>
        <w:t>Treaty of Waitangi Act 1975</w:t>
      </w:r>
      <w:r>
        <w:t>.</w:t>
      </w:r>
    </w:p>
  </w:footnote>
  <w:footnote w:id="85">
    <w:p w:rsidR="004F3A38" w:rsidRPr="004B59B9" w:rsidRDefault="004F3A38" w:rsidP="00397914">
      <w:pPr>
        <w:pStyle w:val="footnote"/>
      </w:pPr>
      <w:r>
        <w:rPr>
          <w:rStyle w:val="FootnoteReference"/>
        </w:rPr>
        <w:footnoteRef/>
      </w:r>
      <w:r>
        <w:t xml:space="preserve"> David V Williams “Legal History in Developing New Zealand Common Law Following </w:t>
      </w:r>
      <w:r>
        <w:rPr>
          <w:i/>
        </w:rPr>
        <w:t>Paki (No 2)</w:t>
      </w:r>
      <w:r>
        <w:t xml:space="preserve">”, </w:t>
      </w:r>
      <w:r w:rsidRPr="003C5A7A">
        <w:rPr>
          <w:i/>
        </w:rPr>
        <w:t>New Zealand Law Review</w:t>
      </w:r>
      <w:r>
        <w:t xml:space="preserve"> (2016) 755 at 786.</w:t>
      </w:r>
    </w:p>
  </w:footnote>
  <w:footnote w:id="86">
    <w:p w:rsidR="004F3A38" w:rsidRDefault="004F3A38" w:rsidP="00397914">
      <w:pPr>
        <w:pStyle w:val="footnote"/>
      </w:pPr>
      <w:r>
        <w:rPr>
          <w:rStyle w:val="FootnoteReference"/>
        </w:rPr>
        <w:footnoteRef/>
      </w:r>
      <w:r>
        <w:t xml:space="preserve"> </w:t>
      </w:r>
      <w:r w:rsidRPr="00744328">
        <w:rPr>
          <w:i/>
        </w:rPr>
        <w:t>State-Owned Enterprises Act 1986</w:t>
      </w:r>
      <w:r>
        <w:t>, s 9.</w:t>
      </w:r>
    </w:p>
  </w:footnote>
  <w:footnote w:id="87">
    <w:p w:rsidR="004F3A38" w:rsidRPr="00424D5F" w:rsidRDefault="004F3A38" w:rsidP="00397914">
      <w:pPr>
        <w:pStyle w:val="footnote"/>
      </w:pPr>
      <w:r>
        <w:rPr>
          <w:rStyle w:val="FootnoteReference"/>
        </w:rPr>
        <w:footnoteRef/>
      </w:r>
      <w:r>
        <w:t xml:space="preserve"> </w:t>
      </w:r>
      <w:r w:rsidRPr="00744328">
        <w:rPr>
          <w:i/>
        </w:rPr>
        <w:t>New Zealand Maori Council v Attorney-General</w:t>
      </w:r>
      <w:r>
        <w:t xml:space="preserve"> [1987] 1 NZLR 641 (the Lands case), </w:t>
      </w:r>
      <w:r w:rsidRPr="00744328">
        <w:rPr>
          <w:i/>
        </w:rPr>
        <w:t xml:space="preserve">New Zealand Maori Council v Attorney-General </w:t>
      </w:r>
      <w:r>
        <w:t xml:space="preserve">[1989] 2 NZLR 142 (Forests case), </w:t>
      </w:r>
      <w:r w:rsidRPr="00744328">
        <w:rPr>
          <w:i/>
        </w:rPr>
        <w:t>Tainui Maori Trust Board v Attorney-General</w:t>
      </w:r>
      <w:r>
        <w:t xml:space="preserve"> [1989] 2 NZLR 513 (Coal case). </w:t>
      </w:r>
    </w:p>
  </w:footnote>
  <w:footnote w:id="88">
    <w:p w:rsidR="004F3A38" w:rsidRPr="00FB537E" w:rsidRDefault="004F3A38" w:rsidP="00397914">
      <w:pPr>
        <w:pStyle w:val="footnote"/>
      </w:pPr>
      <w:r>
        <w:rPr>
          <w:rStyle w:val="FootnoteReference"/>
        </w:rPr>
        <w:footnoteRef/>
      </w:r>
      <w:r>
        <w:t xml:space="preserve"> </w:t>
      </w:r>
      <w:r w:rsidRPr="00744328">
        <w:rPr>
          <w:i/>
        </w:rPr>
        <w:t>Conservation Act 1987</w:t>
      </w:r>
      <w:r>
        <w:t xml:space="preserve">, s 4. This provision was at the heart of two judicial review cases concerning the exercise of a statutory discretion. In each case, the issue related to whether Māori ought to have been given preferential treatment in the granting of concessions, on the basis of the Treaty principle, developed by the courts, of active protection of the economic position of Māori: </w:t>
      </w:r>
      <w:r w:rsidRPr="00744328">
        <w:rPr>
          <w:i/>
        </w:rPr>
        <w:t>Ngāi Tahu Maori Trust Board v Director-General of Conservation</w:t>
      </w:r>
      <w:r>
        <w:t xml:space="preserve"> [1995] 3 NZLR 553 (CA); </w:t>
      </w:r>
      <w:r w:rsidRPr="00744328">
        <w:rPr>
          <w:i/>
        </w:rPr>
        <w:t>Ngāi Tai ki Tamaki Tribal Trust v Minister of Conservation</w:t>
      </w:r>
      <w:r>
        <w:t xml:space="preserve"> [2017] NZHC 300.</w:t>
      </w:r>
    </w:p>
  </w:footnote>
  <w:footnote w:id="89">
    <w:p w:rsidR="004F3A38" w:rsidRDefault="004F3A38" w:rsidP="00397914">
      <w:pPr>
        <w:pStyle w:val="footnote"/>
      </w:pPr>
      <w:r>
        <w:rPr>
          <w:rStyle w:val="FootnoteReference"/>
        </w:rPr>
        <w:footnoteRef/>
      </w:r>
      <w:r>
        <w:t xml:space="preserve"> Examples are section 8 of the </w:t>
      </w:r>
      <w:r w:rsidRPr="00744328">
        <w:rPr>
          <w:i/>
        </w:rPr>
        <w:t>Resource Management Act 1991</w:t>
      </w:r>
      <w:r>
        <w:t xml:space="preserve"> and section 8 of the </w:t>
      </w:r>
      <w:r w:rsidRPr="00744328">
        <w:rPr>
          <w:i/>
        </w:rPr>
        <w:t>Hazardous Substances and New Organisms Act 1996</w:t>
      </w:r>
      <w:r>
        <w:t>.</w:t>
      </w:r>
    </w:p>
  </w:footnote>
  <w:footnote w:id="90">
    <w:p w:rsidR="004F3A38" w:rsidRDefault="004F3A38" w:rsidP="00397914">
      <w:pPr>
        <w:pStyle w:val="footnote"/>
      </w:pPr>
      <w:r>
        <w:rPr>
          <w:rStyle w:val="FootnoteReference"/>
        </w:rPr>
        <w:footnoteRef/>
      </w:r>
      <w:r>
        <w:t xml:space="preserve"> The New Zealand Health and Disability Bill, introduced in 2000, was the first legislation to reflect the new approach. As enacted, a Treaty clause provided: </w:t>
      </w:r>
    </w:p>
    <w:p w:rsidR="004F3A38" w:rsidRDefault="004F3A38" w:rsidP="00397914">
      <w:pPr>
        <w:pStyle w:val="footnoteindent"/>
      </w:pPr>
      <w:r w:rsidRPr="003123AA">
        <w:t xml:space="preserve">In order to recognise and respect the </w:t>
      </w:r>
      <w:r>
        <w:t>principles of the Treaty of Waitangi, and with a view to improving health outcomes for Maori, Part 3 provides for mechanisms to enable Maori to contribute to decision-making on, and to participate in the delivery of, health and disability services.</w:t>
      </w:r>
    </w:p>
  </w:footnote>
  <w:footnote w:id="91">
    <w:p w:rsidR="004F3A38" w:rsidRPr="00397914" w:rsidRDefault="004F3A38" w:rsidP="00397914">
      <w:pPr>
        <w:pStyle w:val="footnote"/>
        <w:rPr>
          <w:b/>
        </w:rPr>
      </w:pPr>
      <w:r>
        <w:rPr>
          <w:rStyle w:val="FootnoteReference"/>
        </w:rPr>
        <w:footnoteRef/>
      </w:r>
      <w:r>
        <w:t xml:space="preserve"> New Zealand Law Commission, </w:t>
      </w:r>
      <w:r>
        <w:rPr>
          <w:i/>
        </w:rPr>
        <w:t xml:space="preserve">Māori Custom and Values in New Zealand Law </w:t>
      </w:r>
      <w:r w:rsidRPr="009C2022">
        <w:t>(NZLC SP9, 2001)</w:t>
      </w:r>
      <w:r>
        <w:t xml:space="preserve"> paragraphs 352</w:t>
      </w:r>
      <w:r>
        <w:rPr>
          <w:rFonts w:ascii="Courier New" w:hAnsi="Courier New" w:cs="Courier New"/>
        </w:rPr>
        <w:t>-</w:t>
      </w:r>
      <w:r>
        <w:t xml:space="preserve">353. The same position was taken by Matthew Palmer, “The Treaty of Waitangi in Legislation” [2001]  </w:t>
      </w:r>
      <w:r w:rsidRPr="00744328">
        <w:rPr>
          <w:i/>
        </w:rPr>
        <w:t>NZ Law Journal</w:t>
      </w:r>
      <w:r>
        <w:t xml:space="preserve">  at 207-212.</w:t>
      </w:r>
    </w:p>
  </w:footnote>
  <w:footnote w:id="92">
    <w:p w:rsidR="004F3A38" w:rsidRDefault="004F3A38" w:rsidP="00397914">
      <w:pPr>
        <w:pStyle w:val="footnote"/>
      </w:pPr>
      <w:r>
        <w:rPr>
          <w:rStyle w:val="FootnoteReference"/>
        </w:rPr>
        <w:footnoteRef/>
      </w:r>
      <w:r>
        <w:t xml:space="preserve"> New Zealand Law Commission (2001), above n. 30, paragraph 117 notes the push from Māori for Māori custom law to be included and applied in the law of New Zealand.</w:t>
      </w:r>
    </w:p>
  </w:footnote>
  <w:footnote w:id="93">
    <w:p w:rsidR="004F3A38" w:rsidRPr="006B56C3" w:rsidRDefault="004F3A38" w:rsidP="00397914">
      <w:pPr>
        <w:pStyle w:val="footnote"/>
      </w:pPr>
      <w:r>
        <w:rPr>
          <w:rStyle w:val="FootnoteReference"/>
        </w:rPr>
        <w:footnoteRef/>
      </w:r>
      <w:r>
        <w:t xml:space="preserve"> </w:t>
      </w:r>
      <w:r w:rsidRPr="00744328">
        <w:rPr>
          <w:i/>
        </w:rPr>
        <w:t>Resource Management Act 1991</w:t>
      </w:r>
      <w:r>
        <w:t xml:space="preserve">, s 2: </w:t>
      </w:r>
      <w:r w:rsidRPr="006D6AC3">
        <w:t>“</w:t>
      </w:r>
      <w:r>
        <w:rPr>
          <w:b/>
        </w:rPr>
        <w:t>kaitiakitanga</w:t>
      </w:r>
      <w:r>
        <w:t xml:space="preserve"> means the</w:t>
      </w:r>
      <w:r>
        <w:rPr>
          <w:color w:val="000000"/>
          <w:sz w:val="25"/>
          <w:szCs w:val="25"/>
          <w:shd w:val="clear" w:color="auto" w:fill="FFFFFF"/>
        </w:rPr>
        <w:t xml:space="preserve"> </w:t>
      </w:r>
      <w:r w:rsidRPr="006B56C3">
        <w:rPr>
          <w:color w:val="000000"/>
          <w:shd w:val="clear" w:color="auto" w:fill="FFFFFF"/>
        </w:rPr>
        <w:t>exercise of guardianship by the tangata whenua of an area in accordance with tikanga M</w:t>
      </w:r>
      <w:r>
        <w:rPr>
          <w:color w:val="000000"/>
          <w:shd w:val="clear" w:color="auto" w:fill="FFFFFF"/>
        </w:rPr>
        <w:t>a</w:t>
      </w:r>
      <w:r w:rsidRPr="006B56C3">
        <w:rPr>
          <w:color w:val="000000"/>
          <w:shd w:val="clear" w:color="auto" w:fill="FFFFFF"/>
        </w:rPr>
        <w:t>ori in relation to natural and physical resources; and includes the ethic of stewardship</w:t>
      </w:r>
      <w:r>
        <w:rPr>
          <w:color w:val="000000"/>
          <w:shd w:val="clear" w:color="auto" w:fill="FFFFFF"/>
        </w:rPr>
        <w:t xml:space="preserve">”. </w:t>
      </w:r>
      <w:r>
        <w:t xml:space="preserve">Another example comes from the </w:t>
      </w:r>
      <w:r w:rsidRPr="00314D79">
        <w:rPr>
          <w:i/>
        </w:rPr>
        <w:t>National Library of New Zealand (Te Puna Mātauranga o Aotearoa) Act 2003</w:t>
      </w:r>
      <w:r>
        <w:t xml:space="preserve">, where the word </w:t>
      </w:r>
      <w:r>
        <w:rPr>
          <w:i/>
        </w:rPr>
        <w:t>taonga</w:t>
      </w:r>
      <w:r>
        <w:t xml:space="preserve"> (used but not defined in the Act) was proposed in order to express the intrinsic value of the entire collection of the National Library of New Zealand. Some works in the collection are writings of importance to Māori (mainly because they were written to or by their </w:t>
      </w:r>
      <w:r>
        <w:rPr>
          <w:i/>
        </w:rPr>
        <w:t>tū</w:t>
      </w:r>
      <w:r w:rsidRPr="0020423E">
        <w:rPr>
          <w:i/>
        </w:rPr>
        <w:t>puna</w:t>
      </w:r>
      <w:r>
        <w:t xml:space="preserve"> (ancestors)), so they are “treasures” in a cultural sense, but to assign that status to those documents for all New Zealanders, or to all of the written documentation held in the National Library, would have been patently wrong and possibly offensive to Māori. </w:t>
      </w:r>
      <w:r>
        <w:rPr>
          <w:i/>
        </w:rPr>
        <w:t>Taonga</w:t>
      </w:r>
      <w:r>
        <w:t xml:space="preserve"> are uniquely Māori. Accordingly, the distinction was observed by referring, in sections 3, 7, 12, and 17, to the “documentary heritage and taonga” in reference to the intrinsic status of the collection.</w:t>
      </w:r>
    </w:p>
  </w:footnote>
  <w:footnote w:id="94">
    <w:p w:rsidR="004F3A38" w:rsidRPr="00930FB2" w:rsidRDefault="004F3A38" w:rsidP="00397914">
      <w:pPr>
        <w:pStyle w:val="footnote"/>
      </w:pPr>
      <w:r>
        <w:rPr>
          <w:rStyle w:val="FootnoteReference"/>
        </w:rPr>
        <w:footnoteRef/>
      </w:r>
      <w:r>
        <w:t xml:space="preserve"> New Zealand Law Commission, “</w:t>
      </w:r>
      <w:r w:rsidRPr="003D03C8">
        <w:t>The Taking into Account of Te Ao Maori in Relation to Reform of the Law of Succession</w:t>
      </w:r>
      <w:r>
        <w:t>”</w:t>
      </w:r>
      <w:r w:rsidRPr="003D03C8">
        <w:t xml:space="preserve">, </w:t>
      </w:r>
      <w:r>
        <w:t>Working Paper by Professor Pat Hohepa and Dr David V Williams (December 1996) at 5.</w:t>
      </w:r>
    </w:p>
  </w:footnote>
  <w:footnote w:id="95">
    <w:p w:rsidR="004F3A38" w:rsidRDefault="004F3A38" w:rsidP="00397914">
      <w:pPr>
        <w:pStyle w:val="footnote"/>
      </w:pPr>
      <w:r>
        <w:rPr>
          <w:rStyle w:val="FootnoteReference"/>
        </w:rPr>
        <w:footnoteRef/>
      </w:r>
      <w:r>
        <w:t xml:space="preserve"> The stem of the term </w:t>
      </w:r>
      <w:r w:rsidRPr="00F918EA">
        <w:rPr>
          <w:i/>
        </w:rPr>
        <w:t>tikanga</w:t>
      </w:r>
      <w:r>
        <w:rPr>
          <w:i/>
        </w:rPr>
        <w:t xml:space="preserve"> </w:t>
      </w:r>
      <w:r w:rsidRPr="00F918EA">
        <w:t>is</w:t>
      </w:r>
      <w:r>
        <w:t xml:space="preserve"> </w:t>
      </w:r>
      <w:r>
        <w:rPr>
          <w:i/>
        </w:rPr>
        <w:t xml:space="preserve">tika, adjective meaning correct. </w:t>
      </w:r>
      <w:r>
        <w:t xml:space="preserve">The term </w:t>
      </w:r>
      <w:r w:rsidRPr="00E44485">
        <w:rPr>
          <w:i/>
        </w:rPr>
        <w:t>tikanga</w:t>
      </w:r>
      <w:r>
        <w:t xml:space="preserve"> is used in over 70 statutes. Judge Annis Somerville has analysed the usage of </w:t>
      </w:r>
      <w:r w:rsidRPr="00695ABE">
        <w:t>tikanga</w:t>
      </w:r>
      <w:r>
        <w:t xml:space="preserve"> in the legislation before the Family Court: “Tikanga in the Family Court – the gorilla in the room” (2016), 8 </w:t>
      </w:r>
      <w:r w:rsidRPr="003D03C8">
        <w:rPr>
          <w:i/>
        </w:rPr>
        <w:t>New Zealand Family Law Journal</w:t>
      </w:r>
      <w:r>
        <w:t xml:space="preserve"> 157.</w:t>
      </w:r>
    </w:p>
  </w:footnote>
  <w:footnote w:id="96">
    <w:p w:rsidR="004F3A38" w:rsidRDefault="004F3A38" w:rsidP="00397914">
      <w:pPr>
        <w:pStyle w:val="footnote"/>
      </w:pPr>
      <w:r>
        <w:rPr>
          <w:rStyle w:val="FootnoteReference"/>
        </w:rPr>
        <w:footnoteRef/>
      </w:r>
      <w:r>
        <w:t xml:space="preserve"> New Zealand Law Commission (2001), above n. </w:t>
      </w:r>
      <w:r>
        <w:fldChar w:fldCharType="begin"/>
      </w:r>
      <w:r>
        <w:instrText xml:space="preserve"> NOTEREF _Ref499147248 \h </w:instrText>
      </w:r>
      <w:r>
        <w:fldChar w:fldCharType="separate"/>
      </w:r>
      <w:r w:rsidR="00D10211">
        <w:t>29</w:t>
      </w:r>
      <w:r>
        <w:fldChar w:fldCharType="end"/>
      </w:r>
      <w:r>
        <w:t xml:space="preserve"> and Hirini Moko Mead, </w:t>
      </w:r>
      <w:r w:rsidRPr="00696C59">
        <w:rPr>
          <w:i/>
        </w:rPr>
        <w:t>Tikanga Māori: Living by Māori Values</w:t>
      </w:r>
      <w:r>
        <w:t xml:space="preserve"> (Huia Publishers: Wellington, 2016) give a scholarly as well as practical explanation of tikanga. Justice Joseph Williams “Lex Aotearoa”, above n. </w:t>
      </w:r>
      <w:r>
        <w:fldChar w:fldCharType="begin"/>
      </w:r>
      <w:r>
        <w:instrText xml:space="preserve"> NOTEREF _Ref499147455 \h </w:instrText>
      </w:r>
      <w:r>
        <w:fldChar w:fldCharType="separate"/>
      </w:r>
      <w:r w:rsidR="00D10211">
        <w:t>4</w:t>
      </w:r>
      <w:r>
        <w:fldChar w:fldCharType="end"/>
      </w:r>
      <w:r>
        <w:t xml:space="preserve"> considers the role of tikanga in New Zealand’s current legal system and of tikanga Māori as a foundation  for a future bijural legal system in New Zealand, with concepts and language incorporated into our statute law as part of an integrated and mainstream legal system.</w:t>
      </w:r>
    </w:p>
  </w:footnote>
  <w:footnote w:id="97">
    <w:p w:rsidR="004F3A38" w:rsidRDefault="004F3A38" w:rsidP="00397914">
      <w:pPr>
        <w:pStyle w:val="footnote"/>
      </w:pPr>
      <w:r>
        <w:rPr>
          <w:rStyle w:val="FootnoteReference"/>
        </w:rPr>
        <w:footnoteRef/>
      </w:r>
      <w:r>
        <w:t xml:space="preserve"> It took over 100 pages for the Honourable Justice Sir Taihakurei Durie to elucidate the concepts of tikanga for the benefit of the judiciary confronted with its usage in legislation. Unpublished paper (1994), referenced in New Zealand Law Commission (2001), above n. </w:t>
      </w:r>
      <w:r>
        <w:fldChar w:fldCharType="begin"/>
      </w:r>
      <w:r>
        <w:instrText xml:space="preserve"> NOTEREF _Ref499147248 \h </w:instrText>
      </w:r>
      <w:r>
        <w:fldChar w:fldCharType="separate"/>
      </w:r>
      <w:r w:rsidR="00D10211">
        <w:t>29</w:t>
      </w:r>
      <w:r>
        <w:fldChar w:fldCharType="end"/>
      </w:r>
      <w:r>
        <w:t>.</w:t>
      </w:r>
    </w:p>
  </w:footnote>
  <w:footnote w:id="98">
    <w:p w:rsidR="004F3A38" w:rsidRPr="004130E7" w:rsidRDefault="004F3A38" w:rsidP="00397914">
      <w:pPr>
        <w:pStyle w:val="footnote"/>
        <w:rPr>
          <w:szCs w:val="20"/>
        </w:rPr>
      </w:pPr>
      <w:r>
        <w:rPr>
          <w:rStyle w:val="FootnoteReference"/>
        </w:rPr>
        <w:footnoteRef/>
      </w:r>
      <w:r>
        <w:t xml:space="preserve"> </w:t>
      </w:r>
      <w:r w:rsidRPr="00FA0791">
        <w:rPr>
          <w:szCs w:val="20"/>
        </w:rPr>
        <w:t>Curiously,</w:t>
      </w:r>
      <w:r>
        <w:rPr>
          <w:szCs w:val="20"/>
        </w:rPr>
        <w:t xml:space="preserve"> the term</w:t>
      </w:r>
      <w:r w:rsidRPr="00FA0791">
        <w:rPr>
          <w:szCs w:val="20"/>
        </w:rPr>
        <w:t xml:space="preserve"> </w:t>
      </w:r>
      <w:r w:rsidRPr="00FA0791">
        <w:rPr>
          <w:i/>
          <w:szCs w:val="20"/>
        </w:rPr>
        <w:t xml:space="preserve">tikanga </w:t>
      </w:r>
      <w:r w:rsidRPr="00FA0791">
        <w:rPr>
          <w:szCs w:val="20"/>
        </w:rPr>
        <w:t xml:space="preserve">has also been used in a narrow technical context, as in </w:t>
      </w:r>
      <w:r w:rsidRPr="00744328">
        <w:rPr>
          <w:i/>
          <w:szCs w:val="20"/>
        </w:rPr>
        <w:t>Te Ture mō Te Reo Māori 2016 Māori Language Act 2016</w:t>
      </w:r>
      <w:r w:rsidRPr="00FA0791">
        <w:rPr>
          <w:szCs w:val="20"/>
        </w:rPr>
        <w:t xml:space="preserve"> to translate the English terms </w:t>
      </w:r>
      <w:r>
        <w:rPr>
          <w:szCs w:val="20"/>
        </w:rPr>
        <w:t>“</w:t>
      </w:r>
      <w:r w:rsidRPr="00FA0791">
        <w:rPr>
          <w:szCs w:val="20"/>
        </w:rPr>
        <w:t>rules of court</w:t>
      </w:r>
      <w:r>
        <w:rPr>
          <w:szCs w:val="20"/>
        </w:rPr>
        <w:t>”</w:t>
      </w:r>
      <w:r w:rsidRPr="00FA0791">
        <w:rPr>
          <w:szCs w:val="20"/>
        </w:rPr>
        <w:t xml:space="preserve"> and </w:t>
      </w:r>
      <w:r>
        <w:rPr>
          <w:szCs w:val="20"/>
        </w:rPr>
        <w:t>“</w:t>
      </w:r>
      <w:r w:rsidRPr="00FA0791">
        <w:rPr>
          <w:szCs w:val="20"/>
        </w:rPr>
        <w:t>generally accepted accounting practice</w:t>
      </w:r>
      <w:r>
        <w:rPr>
          <w:szCs w:val="20"/>
        </w:rPr>
        <w:t>”</w:t>
      </w:r>
      <w:r w:rsidRPr="00FA0791">
        <w:rPr>
          <w:szCs w:val="20"/>
        </w:rPr>
        <w:t xml:space="preserve"> (GAAP), and to refer to th</w:t>
      </w:r>
      <w:r>
        <w:rPr>
          <w:szCs w:val="20"/>
        </w:rPr>
        <w:t>e formal procedures of a board.</w:t>
      </w:r>
    </w:p>
  </w:footnote>
  <w:footnote w:id="99">
    <w:p w:rsidR="004F3A38" w:rsidRPr="009A4421" w:rsidRDefault="004F3A38" w:rsidP="00397914">
      <w:pPr>
        <w:pStyle w:val="footnote"/>
      </w:pPr>
      <w:r>
        <w:rPr>
          <w:rStyle w:val="FootnoteReference"/>
        </w:rPr>
        <w:footnoteRef/>
      </w:r>
      <w:r>
        <w:t xml:space="preserve"> </w:t>
      </w:r>
      <w:r>
        <w:rPr>
          <w:i/>
        </w:rPr>
        <w:t>Takamore v Clarke</w:t>
      </w:r>
      <w:r>
        <w:t xml:space="preserve"> [2012] NZSC 116, a case concerning traditional burial rites; </w:t>
      </w:r>
      <w:r>
        <w:rPr>
          <w:i/>
        </w:rPr>
        <w:t>Re Denis Wiremu Tipene</w:t>
      </w:r>
      <w:r>
        <w:t xml:space="preserve"> [2016] NZHC 3199, the first case to decide a grant of customary marine title under the </w:t>
      </w:r>
      <w:r w:rsidRPr="00744328">
        <w:rPr>
          <w:i/>
        </w:rPr>
        <w:t>Marine and Coastal Area (Takutai Moana) Act 2011</w:t>
      </w:r>
      <w:r>
        <w:t xml:space="preserve">, an Act in which </w:t>
      </w:r>
      <w:r w:rsidRPr="008A1396">
        <w:rPr>
          <w:i/>
        </w:rPr>
        <w:t>tikanga</w:t>
      </w:r>
      <w:r>
        <w:t xml:space="preserve"> is the benchmark for evidence relevant to determining customary rights to the foreshore and seabed of coastal New Zealand. In a paper delivered to the Commonwealth Law Conference, Melborune, March 2017, the Right Honourable Dame Sian Elias, Chief Justice of New Zealand, drew attention to commentary on the </w:t>
      </w:r>
      <w:r>
        <w:rPr>
          <w:i/>
        </w:rPr>
        <w:t>Takamore</w:t>
      </w:r>
      <w:r>
        <w:t xml:space="preserve"> case to the effect that, in its decision, the Supreme Court had avoided giving effect to </w:t>
      </w:r>
      <w:r>
        <w:rPr>
          <w:i/>
        </w:rPr>
        <w:t>tikanga</w:t>
      </w:r>
      <w:r>
        <w:t xml:space="preserve"> in favour of statute law as the law of the land pertaining to Māori (accessed at </w:t>
      </w:r>
      <w:hyperlink r:id="rId12" w:history="1">
        <w:r w:rsidRPr="00454C8A">
          <w:rPr>
            <w:rStyle w:val="Hyperlink"/>
          </w:rPr>
          <w:t>www.courtsofnz.govt.nz/speechpapers/CLCM23M.pdf</w:t>
        </w:r>
      </w:hyperlink>
      <w:r>
        <w:t>).</w:t>
      </w:r>
    </w:p>
  </w:footnote>
  <w:footnote w:id="100">
    <w:p w:rsidR="004F3A38" w:rsidRPr="00C02D03" w:rsidRDefault="004F3A38" w:rsidP="00397914">
      <w:pPr>
        <w:pStyle w:val="footnote"/>
      </w:pPr>
      <w:r>
        <w:rPr>
          <w:rStyle w:val="FootnoteReference"/>
        </w:rPr>
        <w:footnoteRef/>
      </w:r>
      <w:r>
        <w:t xml:space="preserve"> New Zealand law follows the approach to oral history evidence set out by the Supreme Court of Canada in </w:t>
      </w:r>
      <w:r>
        <w:rPr>
          <w:i/>
        </w:rPr>
        <w:t xml:space="preserve">Delgamuukw v Province of British Columbia </w:t>
      </w:r>
      <w:r>
        <w:t xml:space="preserve">[1997] 3 SCR 1010: </w:t>
      </w:r>
      <w:r w:rsidRPr="006B2A6A">
        <w:t>that a unique</w:t>
      </w:r>
      <w:r>
        <w:rPr>
          <w:i/>
        </w:rPr>
        <w:t xml:space="preserve"> </w:t>
      </w:r>
      <w:r>
        <w:t xml:space="preserve">approach is required, recognising the </w:t>
      </w:r>
      <w:r>
        <w:rPr>
          <w:i/>
        </w:rPr>
        <w:t>sui generis</w:t>
      </w:r>
      <w:r>
        <w:t xml:space="preserve"> nature of aboriginal rights and according “due weight to the perspective of aboriginal peoples”.</w:t>
      </w:r>
    </w:p>
  </w:footnote>
  <w:footnote w:id="101">
    <w:p w:rsidR="004F3A38" w:rsidRDefault="004F3A38" w:rsidP="00397914">
      <w:pPr>
        <w:pStyle w:val="footnote"/>
      </w:pPr>
      <w:r>
        <w:rPr>
          <w:rStyle w:val="FootnoteReference"/>
        </w:rPr>
        <w:footnoteRef/>
      </w:r>
      <w:r>
        <w:t xml:space="preserve"> </w:t>
      </w:r>
      <w:r w:rsidRPr="003220FB">
        <w:rPr>
          <w:i/>
        </w:rPr>
        <w:t xml:space="preserve">See </w:t>
      </w:r>
      <w:r>
        <w:t>s 27A, inserted in 1993.</w:t>
      </w:r>
    </w:p>
  </w:footnote>
  <w:footnote w:id="102">
    <w:p w:rsidR="004F3A38" w:rsidRPr="003442CB" w:rsidRDefault="004F3A38" w:rsidP="00397914">
      <w:pPr>
        <w:pStyle w:val="footnote"/>
      </w:pPr>
      <w:r>
        <w:rPr>
          <w:rStyle w:val="FootnoteReference"/>
        </w:rPr>
        <w:footnoteRef/>
      </w:r>
      <w:r>
        <w:t xml:space="preserve"> </w:t>
      </w:r>
      <w:r w:rsidRPr="00103E67">
        <w:rPr>
          <w:i/>
        </w:rPr>
        <w:t>Ngai Te Rangi Iwi Trust v Bay of Plenty Regional Council</w:t>
      </w:r>
      <w:r>
        <w:t xml:space="preserve"> [2011] NZEnvC 402, upheld in the High Court in </w:t>
      </w:r>
      <w:r w:rsidRPr="00103E67">
        <w:rPr>
          <w:i/>
        </w:rPr>
        <w:t>Ngāti Ruahine v Bay of Plenty Regional Council</w:t>
      </w:r>
      <w:r>
        <w:t xml:space="preserve"> [2012] NZHC 2407.</w:t>
      </w:r>
    </w:p>
  </w:footnote>
  <w:footnote w:id="103">
    <w:p w:rsidR="004F3A38" w:rsidRPr="00740EDF" w:rsidRDefault="004F3A38" w:rsidP="00397914">
      <w:pPr>
        <w:pStyle w:val="footnote"/>
      </w:pPr>
      <w:r>
        <w:rPr>
          <w:rStyle w:val="FootnoteReference"/>
        </w:rPr>
        <w:footnoteRef/>
      </w:r>
      <w:r>
        <w:t xml:space="preserve"> Also spelled </w:t>
      </w:r>
      <w:r w:rsidRPr="008A1396">
        <w:rPr>
          <w:i/>
        </w:rPr>
        <w:t>wāhi tapu</w:t>
      </w:r>
      <w:r>
        <w:t>.</w:t>
      </w:r>
    </w:p>
  </w:footnote>
  <w:footnote w:id="104">
    <w:p w:rsidR="004F3A38" w:rsidRDefault="004F3A38" w:rsidP="00397914">
      <w:pPr>
        <w:pStyle w:val="footnote"/>
      </w:pPr>
      <w:r>
        <w:rPr>
          <w:rStyle w:val="FootnoteReference"/>
        </w:rPr>
        <w:footnoteRef/>
      </w:r>
      <w:r>
        <w:t xml:space="preserve"> Mead, above n. </w:t>
      </w:r>
      <w:r>
        <w:fldChar w:fldCharType="begin"/>
      </w:r>
      <w:r>
        <w:instrText xml:space="preserve"> NOTEREF _Ref499147662 \h </w:instrText>
      </w:r>
      <w:r>
        <w:fldChar w:fldCharType="separate"/>
      </w:r>
      <w:r w:rsidR="00D10211">
        <w:t>34</w:t>
      </w:r>
      <w:r>
        <w:fldChar w:fldCharType="end"/>
      </w:r>
      <w:r>
        <w:t xml:space="preserve"> at 33</w:t>
      </w:r>
      <w:r>
        <w:rPr>
          <w:rFonts w:ascii="Courier New" w:hAnsi="Courier New" w:cs="Courier New"/>
        </w:rPr>
        <w:t>-</w:t>
      </w:r>
      <w:r>
        <w:t xml:space="preserve">34; Williams, above n. </w:t>
      </w:r>
      <w:r>
        <w:fldChar w:fldCharType="begin"/>
      </w:r>
      <w:r>
        <w:instrText xml:space="preserve"> NOTEREF _Ref499147455 \h </w:instrText>
      </w:r>
      <w:r>
        <w:fldChar w:fldCharType="separate"/>
      </w:r>
      <w:r w:rsidR="00D10211">
        <w:t>4</w:t>
      </w:r>
      <w:r>
        <w:fldChar w:fldCharType="end"/>
      </w:r>
      <w:r>
        <w:t xml:space="preserve"> at 3.</w:t>
      </w:r>
    </w:p>
  </w:footnote>
  <w:footnote w:id="105">
    <w:p w:rsidR="004F3A38" w:rsidRDefault="004F3A38" w:rsidP="00397914">
      <w:pPr>
        <w:pStyle w:val="footnote"/>
      </w:pPr>
      <w:r>
        <w:rPr>
          <w:rStyle w:val="FootnoteReference"/>
        </w:rPr>
        <w:footnoteRef/>
      </w:r>
      <w:r>
        <w:t xml:space="preserve"> </w:t>
      </w:r>
      <w:r w:rsidRPr="00744328">
        <w:rPr>
          <w:i/>
        </w:rPr>
        <w:t>Auckland War Memorial Museum Act 1996</w:t>
      </w:r>
      <w:r>
        <w:t xml:space="preserve">, s 12(2)(c); </w:t>
      </w:r>
      <w:r w:rsidRPr="00744328">
        <w:rPr>
          <w:i/>
        </w:rPr>
        <w:t>Museum of Transport and Technology Act 2000</w:t>
      </w:r>
      <w:r>
        <w:t>, s 13(2)(c).</w:t>
      </w:r>
    </w:p>
  </w:footnote>
  <w:footnote w:id="106">
    <w:p w:rsidR="004F3A38" w:rsidRPr="00F70AC7" w:rsidRDefault="004F3A38" w:rsidP="00397914">
      <w:pPr>
        <w:pStyle w:val="footnote"/>
      </w:pPr>
      <w:r>
        <w:rPr>
          <w:rStyle w:val="FootnoteReference"/>
        </w:rPr>
        <w:footnoteRef/>
      </w:r>
      <w:r>
        <w:t xml:space="preserve"> Waitangi Tribunal, </w:t>
      </w:r>
      <w:r>
        <w:rPr>
          <w:i/>
        </w:rPr>
        <w:t>Rekohu: A Report on Moriori and Ngati Mutunga Claims in the Chatham Island</w:t>
      </w:r>
      <w:r>
        <w:t xml:space="preserve"> (2001) 13.2</w:t>
      </w:r>
      <w:r>
        <w:rPr>
          <w:rFonts w:ascii="Courier New" w:hAnsi="Courier New" w:cs="Courier New"/>
        </w:rPr>
        <w:t>-</w:t>
      </w:r>
      <w:r>
        <w:t>13.2.5.</w:t>
      </w:r>
    </w:p>
  </w:footnote>
  <w:footnote w:id="107">
    <w:p w:rsidR="004F3A38" w:rsidRDefault="004F3A38" w:rsidP="00397914">
      <w:pPr>
        <w:pStyle w:val="footnote"/>
      </w:pPr>
      <w:r>
        <w:rPr>
          <w:rStyle w:val="FootnoteReference"/>
        </w:rPr>
        <w:footnoteRef/>
      </w:r>
      <w:r>
        <w:t xml:space="preserve"> </w:t>
      </w:r>
      <w:r w:rsidRPr="00744328">
        <w:rPr>
          <w:i/>
        </w:rPr>
        <w:t>Heritage New Zealand Pouhere Taonga Act 2014</w:t>
      </w:r>
      <w:r>
        <w:t xml:space="preserve">, s 6 (which replicates the definitions of the </w:t>
      </w:r>
      <w:r w:rsidRPr="00744328">
        <w:rPr>
          <w:i/>
        </w:rPr>
        <w:t>Resource Management Act</w:t>
      </w:r>
      <w:r>
        <w:t xml:space="preserve"> 1991); </w:t>
      </w:r>
      <w:r w:rsidRPr="00744328">
        <w:rPr>
          <w:i/>
        </w:rPr>
        <w:t>Wellington Town Belt Act 2016</w:t>
      </w:r>
      <w:r>
        <w:t>, ss 3, 4.</w:t>
      </w:r>
    </w:p>
  </w:footnote>
  <w:footnote w:id="108">
    <w:p w:rsidR="004F3A38" w:rsidRDefault="004F3A38" w:rsidP="00397914">
      <w:pPr>
        <w:pStyle w:val="footnote"/>
      </w:pPr>
      <w:r>
        <w:rPr>
          <w:rStyle w:val="FootnoteReference"/>
        </w:rPr>
        <w:footnoteRef/>
      </w:r>
      <w:r>
        <w:t xml:space="preserve"> </w:t>
      </w:r>
      <w:r w:rsidRPr="00744328">
        <w:rPr>
          <w:i/>
        </w:rPr>
        <w:t>Arts Council of New Zealand Toi Aotearoa Act 2014</w:t>
      </w:r>
      <w:r>
        <w:t>, s 3(2)(b).</w:t>
      </w:r>
    </w:p>
  </w:footnote>
  <w:footnote w:id="109">
    <w:p w:rsidR="004F3A38" w:rsidRDefault="004F3A38" w:rsidP="00397914">
      <w:pPr>
        <w:pStyle w:val="footnote"/>
      </w:pPr>
      <w:r>
        <w:rPr>
          <w:rStyle w:val="FootnoteReference"/>
        </w:rPr>
        <w:footnoteRef/>
      </w:r>
      <w:r>
        <w:t xml:space="preserve"> Williams, above n. </w:t>
      </w:r>
      <w:r>
        <w:fldChar w:fldCharType="begin"/>
      </w:r>
      <w:r>
        <w:instrText xml:space="preserve"> NOTEREF _Ref499147455 \h </w:instrText>
      </w:r>
      <w:r>
        <w:fldChar w:fldCharType="separate"/>
      </w:r>
      <w:r w:rsidR="00D10211">
        <w:t>4</w:t>
      </w:r>
      <w:r>
        <w:fldChar w:fldCharType="end"/>
      </w:r>
      <w:r>
        <w:t xml:space="preserve"> at 3.</w:t>
      </w:r>
    </w:p>
  </w:footnote>
  <w:footnote w:id="110">
    <w:p w:rsidR="004F3A38" w:rsidRDefault="004F3A38" w:rsidP="00397914">
      <w:pPr>
        <w:pStyle w:val="footnote"/>
      </w:pPr>
      <w:r>
        <w:rPr>
          <w:rStyle w:val="FootnoteReference"/>
        </w:rPr>
        <w:footnoteRef/>
      </w:r>
      <w:r>
        <w:t xml:space="preserve"> </w:t>
      </w:r>
      <w:r w:rsidRPr="003220FB">
        <w:rPr>
          <w:i/>
        </w:rPr>
        <w:t>See</w:t>
      </w:r>
      <w:r>
        <w:t xml:space="preserve">, for example, the </w:t>
      </w:r>
      <w:r w:rsidRPr="00744328">
        <w:rPr>
          <w:i/>
        </w:rPr>
        <w:t>Children, Young Persons, and Their Families Act 1989</w:t>
      </w:r>
      <w:r>
        <w:t xml:space="preserve">, ss 4(b) and (c), 5(a) and (c); the </w:t>
      </w:r>
      <w:r w:rsidRPr="00744328">
        <w:rPr>
          <w:i/>
        </w:rPr>
        <w:t>Sentencing Act 2002</w:t>
      </w:r>
      <w:r>
        <w:t xml:space="preserve">, ss 8, 10; the </w:t>
      </w:r>
      <w:r w:rsidRPr="00744328">
        <w:rPr>
          <w:i/>
        </w:rPr>
        <w:t>Care of Children Act 2004</w:t>
      </w:r>
      <w:r>
        <w:t xml:space="preserve">, ss 5 and 47; the </w:t>
      </w:r>
      <w:r w:rsidRPr="00744328">
        <w:rPr>
          <w:i/>
        </w:rPr>
        <w:t>Mental Health (Compulsory Assessment and Treatment) Act 1992</w:t>
      </w:r>
      <w:r>
        <w:t xml:space="preserve">, s 5; the </w:t>
      </w:r>
      <w:r w:rsidRPr="00744328">
        <w:rPr>
          <w:i/>
        </w:rPr>
        <w:t>Health Act 1955</w:t>
      </w:r>
      <w:r>
        <w:t>, s 92ZO (a provision inserted in 2017). Iwi and hapū are recognised as well as whānau in the 1989 Act, s 13(2)(b) and(c).</w:t>
      </w:r>
    </w:p>
  </w:footnote>
  <w:footnote w:id="111">
    <w:p w:rsidR="004F3A38" w:rsidRDefault="004F3A38" w:rsidP="00397914">
      <w:pPr>
        <w:pStyle w:val="footnote"/>
      </w:pPr>
      <w:r>
        <w:rPr>
          <w:rStyle w:val="FootnoteReference"/>
        </w:rPr>
        <w:footnoteRef/>
      </w:r>
      <w:r>
        <w:t xml:space="preserve"> </w:t>
      </w:r>
      <w:hyperlink r:id="rId13" w:history="1">
        <w:r w:rsidRPr="00314D79">
          <w:rPr>
            <w:rStyle w:val="Hyperlink"/>
            <w:i/>
          </w:rPr>
          <w:t>Children, Young Persons, and Their Families (Oranga Tamariki) Legislation Act 2017</w:t>
        </w:r>
      </w:hyperlink>
      <w:r>
        <w:t>, 2017 No 31, section 7.</w:t>
      </w:r>
    </w:p>
  </w:footnote>
  <w:footnote w:id="112">
    <w:p w:rsidR="004F3A38" w:rsidRDefault="004F3A38" w:rsidP="00397914">
      <w:pPr>
        <w:pStyle w:val="footnote"/>
      </w:pPr>
      <w:r>
        <w:rPr>
          <w:rStyle w:val="FootnoteReference"/>
        </w:rPr>
        <w:footnoteRef/>
      </w:r>
      <w:r>
        <w:t xml:space="preserve"> That date relates to the settlement date of the first settlement, a pan-Maori settlement of claims related to Māori traditional fishing rights that were significantly truncated when New Zealand instituted a quota system for fisheries management. </w:t>
      </w:r>
    </w:p>
  </w:footnote>
  <w:footnote w:id="113">
    <w:p w:rsidR="004F3A38" w:rsidRDefault="004F3A38" w:rsidP="00397914">
      <w:pPr>
        <w:pStyle w:val="footnote"/>
      </w:pPr>
      <w:r>
        <w:rPr>
          <w:rStyle w:val="FootnoteReference"/>
        </w:rPr>
        <w:footnoteRef/>
      </w:r>
      <w:r>
        <w:t xml:space="preserve"> The Standing Orders of the House of Representatives were amended in 2014 to introduce the option of extending the sitting hours of the House by one or more additional four-hour sittings in a week, usually for the business of t</w:t>
      </w:r>
      <w:r w:rsidRPr="00CA11CB">
        <w:t>reaty settlement</w:t>
      </w:r>
      <w:r>
        <w:t xml:space="preserve"> bills, and to relax the omnibus bill rules to allow </w:t>
      </w:r>
      <w:r w:rsidRPr="008467D5">
        <w:t>a</w:t>
      </w:r>
      <w:r>
        <w:t xml:space="preserve"> number of loosely related settlement bills to be considered together by the House of Representatives.</w:t>
      </w:r>
    </w:p>
  </w:footnote>
  <w:footnote w:id="114">
    <w:p w:rsidR="004F3A38" w:rsidRDefault="004F3A38" w:rsidP="00397914">
      <w:pPr>
        <w:pStyle w:val="footnote"/>
      </w:pPr>
      <w:r>
        <w:t xml:space="preserve"> </w:t>
      </w:r>
      <w:r>
        <w:rPr>
          <w:rStyle w:val="FootnoteReference"/>
        </w:rPr>
        <w:footnoteRef/>
      </w:r>
      <w:r>
        <w:t xml:space="preserve"> Legislation does not cover the purely monetary awards that are a major element in the overall settlement package, but is used to free land titles of certain statutory memorials rather than relying on the statutory process and to clear conservation land for alienation without going through the public process otherwise required. The legislation also contains a privative clause to exclude all litigation in respect of the matters settled. There is a preference to use legislation, even where enforceable contractual obligations are available, including a preference by the iwi who trust the efficacy of legislation.</w:t>
      </w:r>
    </w:p>
  </w:footnote>
  <w:footnote w:id="115">
    <w:p w:rsidR="004F3A38" w:rsidRPr="0072311D" w:rsidRDefault="004F3A38" w:rsidP="00397914">
      <w:pPr>
        <w:pStyle w:val="footnote"/>
      </w:pPr>
      <w:r>
        <w:rPr>
          <w:rStyle w:val="FootnoteReference"/>
        </w:rPr>
        <w:footnoteRef/>
      </w:r>
      <w:r>
        <w:t xml:space="preserve"> This concept was first mooted for application to natural resources by a Professor of Law from California as a way to overcome the barrier to a public interest group gaining standing to protect aspects of the environment such as forests, rivers, and other natural objects: Christophen Stone, “Should Trees Have Standing? Towards Legal Rights for Material Agents” (1972), 45 </w:t>
      </w:r>
      <w:r w:rsidRPr="00744328">
        <w:rPr>
          <w:i/>
        </w:rPr>
        <w:t>Southern California Law Review</w:t>
      </w:r>
      <w:r>
        <w:t xml:space="preserve"> 450. The mechanism was included in argument before the US Supreme Court in </w:t>
      </w:r>
      <w:r>
        <w:rPr>
          <w:i/>
        </w:rPr>
        <w:t>Sierra Club v Morton</w:t>
      </w:r>
      <w:r>
        <w:t xml:space="preserve"> 405 US 727 (1972), but seems not to have been applied in any jurisdiction. A declaration to the effect that the Ganges and Yamuna Rivers were “legal and living entities” was made by the High Court of Uttarakhand, but on application by the State government, the Supreme Court of India stayed the judgment of the High Court (</w:t>
      </w:r>
      <w:r w:rsidRPr="00744328">
        <w:rPr>
          <w:i/>
        </w:rPr>
        <w:t>The Times of India</w:t>
      </w:r>
      <w:r>
        <w:t xml:space="preserve"> 7 July 2017): </w:t>
      </w:r>
      <w:hyperlink r:id="rId14" w:history="1">
        <w:r w:rsidRPr="00F86663">
          <w:rPr>
            <w:rStyle w:val="Hyperlink"/>
            <w:rFonts w:eastAsia="MS Gothic"/>
          </w:rPr>
          <w:t>www.timesofindia.indiatimes.com</w:t>
        </w:r>
      </w:hyperlink>
      <w:r>
        <w:t>.</w:t>
      </w:r>
    </w:p>
  </w:footnote>
  <w:footnote w:id="116">
    <w:p w:rsidR="004F3A38" w:rsidRDefault="004F3A38" w:rsidP="00397914">
      <w:pPr>
        <w:pStyle w:val="footnote"/>
      </w:pPr>
      <w:r>
        <w:rPr>
          <w:rStyle w:val="FootnoteReference"/>
        </w:rPr>
        <w:footnoteRef/>
      </w:r>
      <w:r>
        <w:t xml:space="preserve"> Te Urewera Act 2015, ss 11</w:t>
      </w:r>
      <w:r>
        <w:rPr>
          <w:rFonts w:ascii="Courier New" w:hAnsi="Courier New" w:cs="Courier New"/>
        </w:rPr>
        <w:t>-</w:t>
      </w:r>
      <w:r>
        <w:t>13, 17.</w:t>
      </w:r>
    </w:p>
  </w:footnote>
  <w:footnote w:id="117">
    <w:p w:rsidR="004F3A38" w:rsidRDefault="004F3A38" w:rsidP="00397914">
      <w:pPr>
        <w:pStyle w:val="footnote"/>
      </w:pPr>
      <w:r>
        <w:rPr>
          <w:rStyle w:val="FootnoteReference"/>
        </w:rPr>
        <w:footnoteRef/>
      </w:r>
      <w:r>
        <w:t xml:space="preserve"> </w:t>
      </w:r>
      <w:r w:rsidRPr="00744328">
        <w:rPr>
          <w:i/>
        </w:rPr>
        <w:t>Te Awa Tupua (Whanganui River Claims Settlement) Act 2017</w:t>
      </w:r>
      <w:r>
        <w:t>, s 12.</w:t>
      </w:r>
    </w:p>
  </w:footnote>
  <w:footnote w:id="118">
    <w:p w:rsidR="004F3A38" w:rsidRDefault="004F3A38" w:rsidP="00397914">
      <w:pPr>
        <w:pStyle w:val="footnote"/>
      </w:pPr>
      <w:r>
        <w:rPr>
          <w:rStyle w:val="FootnoteReference"/>
        </w:rPr>
        <w:footnoteRef/>
      </w:r>
      <w:r>
        <w:t xml:space="preserve"> </w:t>
      </w:r>
      <w:r w:rsidRPr="00744328">
        <w:rPr>
          <w:i/>
        </w:rPr>
        <w:t>Te Awa Tupua (Whanganui River Claims Settlement) Act 2017</w:t>
      </w:r>
      <w:r>
        <w:t>, s 15.</w:t>
      </w:r>
    </w:p>
  </w:footnote>
  <w:footnote w:id="119">
    <w:p w:rsidR="004F3A38" w:rsidRDefault="004F3A38" w:rsidP="00397914">
      <w:pPr>
        <w:pStyle w:val="footnote"/>
      </w:pPr>
      <w:r>
        <w:rPr>
          <w:rStyle w:val="FootnoteReference"/>
        </w:rPr>
        <w:footnoteRef/>
      </w:r>
      <w:r>
        <w:t xml:space="preserve"> </w:t>
      </w:r>
      <w:r w:rsidRPr="00744328">
        <w:rPr>
          <w:i/>
        </w:rPr>
        <w:t>Te Awa Tupua (Whanganui River Claims Settlement) Act 2017</w:t>
      </w:r>
      <w:r>
        <w:t>, ss 14, 18.</w:t>
      </w:r>
    </w:p>
  </w:footnote>
  <w:footnote w:id="120">
    <w:p w:rsidR="004F3A38" w:rsidRPr="00397914" w:rsidRDefault="004F3A38" w:rsidP="00397914">
      <w:pPr>
        <w:pStyle w:val="footnote"/>
        <w:rPr>
          <w:b/>
        </w:rPr>
      </w:pPr>
      <w:r>
        <w:rPr>
          <w:rStyle w:val="FootnoteReference"/>
        </w:rPr>
        <w:footnoteRef/>
      </w:r>
      <w:r>
        <w:t xml:space="preserve"> Catherine J Iorns Magallanes, “Nature as an Ancestor: Two Examples of Legal Personality for Nature in New Zealand”, </w:t>
      </w:r>
      <w:r w:rsidRPr="004C2D07">
        <w:rPr>
          <w:i/>
        </w:rPr>
        <w:t>Vertigo – la revue electronique en sciences de l’environnement</w:t>
      </w:r>
      <w:r>
        <w:t xml:space="preserve"> Hors-serie 22 (Septembre 2015), accessible at </w:t>
      </w:r>
      <w:hyperlink r:id="rId15" w:history="1">
        <w:r w:rsidRPr="009B73E9">
          <w:rPr>
            <w:rStyle w:val="Hyperlink"/>
          </w:rPr>
          <w:t>http://vertigo.revues.org/16199</w:t>
        </w:r>
      </w:hyperlink>
      <w:r>
        <w:t xml:space="preserve"> .</w:t>
      </w:r>
      <w:r>
        <w:rPr>
          <w:b/>
        </w:rPr>
        <w:t xml:space="preserve"> </w:t>
      </w:r>
    </w:p>
  </w:footnote>
  <w:footnote w:id="121">
    <w:p w:rsidR="004F3A38" w:rsidRDefault="004F3A38" w:rsidP="00397914">
      <w:pPr>
        <w:pStyle w:val="footnote"/>
      </w:pPr>
      <w:r>
        <w:rPr>
          <w:rStyle w:val="FootnoteReference"/>
        </w:rPr>
        <w:footnoteRef/>
      </w:r>
      <w:r>
        <w:t xml:space="preserve"> Professor Rawinia Higgins, “Tūhoe-Crown settlement – Te Wharehou o Tūhoe: the house that ‘we’ built” </w:t>
      </w:r>
      <w:hyperlink r:id="rId16" w:history="1">
        <w:r w:rsidRPr="00744328">
          <w:rPr>
            <w:rStyle w:val="Hyperlink"/>
            <w:i/>
          </w:rPr>
          <w:t xml:space="preserve">Māori Law Review </w:t>
        </w:r>
        <w:r w:rsidRPr="00044E5E">
          <w:rPr>
            <w:rStyle w:val="Hyperlink"/>
          </w:rPr>
          <w:t>(October 2014)</w:t>
        </w:r>
      </w:hyperlink>
      <w:r>
        <w:t>.</w:t>
      </w:r>
    </w:p>
  </w:footnote>
  <w:footnote w:id="122">
    <w:p w:rsidR="004F3A38" w:rsidRDefault="004F3A38" w:rsidP="00397914">
      <w:pPr>
        <w:pStyle w:val="footnote"/>
      </w:pPr>
      <w:r>
        <w:rPr>
          <w:rStyle w:val="FootnoteReference"/>
        </w:rPr>
        <w:footnoteRef/>
      </w:r>
      <w:r>
        <w:t xml:space="preserve"> Linda Te Aho, “Ruruku Whakatupua Te Mana o te Awa Tupua – Upholding the Mana of the Whanganui River” </w:t>
      </w:r>
      <w:hyperlink r:id="rId17" w:history="1">
        <w:r w:rsidRPr="00744328">
          <w:rPr>
            <w:rStyle w:val="Hyperlink"/>
          </w:rPr>
          <w:t>Māori Law Review</w:t>
        </w:r>
        <w:r w:rsidRPr="00044E5E">
          <w:rPr>
            <w:rStyle w:val="Hyperlink"/>
          </w:rPr>
          <w:t xml:space="preserve"> (May 2014)</w:t>
        </w:r>
      </w:hyperlink>
      <w:r>
        <w:t>.</w:t>
      </w:r>
    </w:p>
  </w:footnote>
  <w:footnote w:id="123">
    <w:p w:rsidR="004F3A38" w:rsidRPr="00716744" w:rsidRDefault="004F3A38" w:rsidP="00397914">
      <w:pPr>
        <w:pStyle w:val="footnote"/>
      </w:pPr>
      <w:r>
        <w:rPr>
          <w:rStyle w:val="FootnoteReference"/>
        </w:rPr>
        <w:footnoteRef/>
      </w:r>
      <w:r>
        <w:t xml:space="preserve"> Carwyn Jones, </w:t>
      </w:r>
      <w:r>
        <w:rPr>
          <w:i/>
        </w:rPr>
        <w:t>New Treaty New Traditions: Reconciling New Zealand and Māori Law</w:t>
      </w:r>
      <w:r>
        <w:t xml:space="preserve"> (UBC Press: Vancouver, 2016) at 97</w:t>
      </w:r>
      <w:r>
        <w:rPr>
          <w:rFonts w:ascii="Courier New" w:hAnsi="Courier New" w:cs="Courier New"/>
        </w:rPr>
        <w:t>-</w:t>
      </w:r>
      <w:r>
        <w:t>99, 137</w:t>
      </w:r>
      <w:r>
        <w:rPr>
          <w:rFonts w:ascii="Courier New" w:hAnsi="Courier New" w:cs="Courier New"/>
        </w:rPr>
        <w:t>-</w:t>
      </w:r>
      <w:r>
        <w:t xml:space="preserve">139; Mick Strack, “Land and rivers can own themselves” (2017), 9 </w:t>
      </w:r>
      <w:r w:rsidRPr="00744328">
        <w:rPr>
          <w:i/>
        </w:rPr>
        <w:t>International Journal of Law in the Built Environment</w:t>
      </w:r>
      <w:r>
        <w:t xml:space="preserve"> 4.</w:t>
      </w:r>
    </w:p>
  </w:footnote>
  <w:footnote w:id="124">
    <w:p w:rsidR="004F3A38" w:rsidRDefault="004F3A38" w:rsidP="00397914">
      <w:pPr>
        <w:pStyle w:val="footnote"/>
      </w:pPr>
      <w:r>
        <w:rPr>
          <w:rStyle w:val="FootnoteReference"/>
        </w:rPr>
        <w:footnoteRef/>
      </w:r>
      <w:r>
        <w:t xml:space="preserve">Waitangi Tribunal, </w:t>
      </w:r>
      <w:r>
        <w:rPr>
          <w:i/>
        </w:rPr>
        <w:t>Report on the Te Reo Maori Claim</w:t>
      </w:r>
      <w:r>
        <w:t xml:space="preserve"> (Wai 11, 1986).</w:t>
      </w:r>
    </w:p>
  </w:footnote>
  <w:footnote w:id="125">
    <w:p w:rsidR="004F3A38" w:rsidRDefault="004F3A38" w:rsidP="00397914">
      <w:pPr>
        <w:pStyle w:val="footnote"/>
      </w:pPr>
      <w:r>
        <w:rPr>
          <w:rStyle w:val="FootnoteReference"/>
        </w:rPr>
        <w:footnoteRef/>
      </w:r>
      <w:r>
        <w:t xml:space="preserve"> The title and commencement clauses were positioned in the usual place, the English first followed by the translation in Māori. Parts 1 and 2 followed in English followed by Wāhi 1 and Wāhi 2 in Māori. The Schedule, first in English and then in Māori, sets out the pardon.</w:t>
      </w:r>
    </w:p>
  </w:footnote>
  <w:footnote w:id="126">
    <w:p w:rsidR="004F3A38" w:rsidRDefault="004F3A38" w:rsidP="00397914">
      <w:pPr>
        <w:pStyle w:val="footnote"/>
      </w:pPr>
      <w:r>
        <w:rPr>
          <w:rStyle w:val="FootnoteReference"/>
        </w:rPr>
        <w:footnoteRef/>
      </w:r>
      <w:r>
        <w:t xml:space="preserve"> </w:t>
      </w:r>
      <w:r w:rsidRPr="00744328">
        <w:t>See</w:t>
      </w:r>
      <w:r w:rsidRPr="002A097B">
        <w:t xml:space="preserve"> </w:t>
      </w:r>
      <w:r>
        <w:t xml:space="preserve">above n. </w:t>
      </w:r>
      <w:r>
        <w:fldChar w:fldCharType="begin"/>
      </w:r>
      <w:r>
        <w:instrText xml:space="preserve"> NOTEREF _Ref499149719 \h </w:instrText>
      </w:r>
      <w:r>
        <w:fldChar w:fldCharType="separate"/>
      </w:r>
      <w:r w:rsidR="00D10211">
        <w:t>2</w:t>
      </w:r>
      <w:r>
        <w:fldChar w:fldCharType="end"/>
      </w:r>
      <w:r>
        <w:t>.</w:t>
      </w:r>
    </w:p>
  </w:footnote>
  <w:footnote w:id="127">
    <w:p w:rsidR="004F3A38" w:rsidRDefault="004F3A38" w:rsidP="00397914">
      <w:pPr>
        <w:pStyle w:val="footnote"/>
      </w:pPr>
      <w:r>
        <w:rPr>
          <w:rStyle w:val="FootnoteReference"/>
        </w:rPr>
        <w:footnoteRef/>
      </w:r>
      <w:r>
        <w:t xml:space="preserve"> </w:t>
      </w:r>
      <w:hyperlink r:id="rId18" w:history="1">
        <w:r w:rsidRPr="002A097B">
          <w:rPr>
            <w:rStyle w:val="Hyperlink"/>
          </w:rPr>
          <w:t>United Nations Declaration on the Rights of Indigenous Peoples</w:t>
        </w:r>
      </w:hyperlink>
      <w:r>
        <w:t xml:space="preserve"> 5 GA Res 61/295, A/Res/61/295(2007), Article 31, and included in other contexts in Articles 8, 11, 14, 15, 16, and 34. New Zealand endorsed the Declaration in 2010.</w:t>
      </w:r>
    </w:p>
  </w:footnote>
  <w:footnote w:id="128">
    <w:p w:rsidR="004F3A38" w:rsidRDefault="004F3A38" w:rsidP="00397914">
      <w:pPr>
        <w:pStyle w:val="footnote"/>
      </w:pPr>
      <w:r>
        <w:rPr>
          <w:rStyle w:val="FootnoteReference"/>
        </w:rPr>
        <w:footnoteRef/>
      </w:r>
      <w:r>
        <w:t xml:space="preserve"> Māori Language Advisory Group’s report </w:t>
      </w:r>
      <w:r w:rsidRPr="003220FB">
        <w:rPr>
          <w:i/>
        </w:rPr>
        <w:t>Te Rōpū Tohutohu Reo Māori</w:t>
      </w:r>
      <w:r>
        <w:t xml:space="preserve"> (30 June 2015) accessible at </w:t>
      </w:r>
      <w:hyperlink r:id="rId19" w:history="1">
        <w:r w:rsidRPr="008007BC">
          <w:rPr>
            <w:rStyle w:val="Hyperlink"/>
          </w:rPr>
          <w:t>https://www.tpk.govt.nz/docs/Maori%20Language%20Advisory%20Group%20Final%20Report%20English%20Version.pdf</w:t>
        </w:r>
      </w:hyperlink>
      <w:r w:rsidDel="00AC1C07">
        <w:t xml:space="preserve"> </w:t>
      </w:r>
    </w:p>
  </w:footnote>
  <w:footnote w:id="129">
    <w:p w:rsidR="004F3A38" w:rsidRDefault="004F3A38" w:rsidP="00397914">
      <w:pPr>
        <w:pStyle w:val="footnote"/>
      </w:pPr>
      <w:r>
        <w:rPr>
          <w:rStyle w:val="FootnoteReference"/>
        </w:rPr>
        <w:footnoteRef/>
      </w:r>
      <w:r>
        <w:t xml:space="preserve"> A similar requirement was included in Te Ture Whenua Maori/Maori Land Act 1993 in relation to the Preamble, the only section of the Act in te reo Māori.</w:t>
      </w:r>
    </w:p>
  </w:footnote>
  <w:footnote w:id="130">
    <w:p w:rsidR="004F3A38" w:rsidRDefault="004F3A38" w:rsidP="00397914">
      <w:pPr>
        <w:pStyle w:val="footnote"/>
      </w:pPr>
      <w:r>
        <w:rPr>
          <w:rStyle w:val="FootnoteReference"/>
        </w:rPr>
        <w:footnoteRef/>
      </w:r>
      <w:r>
        <w:t xml:space="preserve"> In this respect, the model helpfully described by Donald L Revell seemed to offer the closest fit to the resources available in New Zealand for the preparation of dual language legislation: “Bilingual legislation, the Ontario Experience” (1998), 19 </w:t>
      </w:r>
      <w:r w:rsidRPr="003220FB">
        <w:rPr>
          <w:i/>
        </w:rPr>
        <w:t>Statute Law Review</w:t>
      </w:r>
      <w:r>
        <w:t xml:space="preserve"> 19 32</w:t>
      </w:r>
      <w:r>
        <w:rPr>
          <w:rFonts w:ascii="Courier New" w:hAnsi="Courier New" w:cs="Courier New"/>
        </w:rPr>
        <w:t>-</w:t>
      </w:r>
      <w:r>
        <w:t>40 and “Authoring Bilingual Laws: The Importance of Progress</w:t>
      </w:r>
      <w:r w:rsidRPr="00740EDF">
        <w:rPr>
          <w:i/>
        </w:rPr>
        <w:t>”</w:t>
      </w:r>
      <w:r>
        <w:rPr>
          <w:i/>
        </w:rPr>
        <w:t xml:space="preserve"> </w:t>
      </w:r>
      <w:r>
        <w:t xml:space="preserve">(2004), 29 </w:t>
      </w:r>
      <w:r w:rsidRPr="00740EDF">
        <w:rPr>
          <w:i/>
        </w:rPr>
        <w:t>Brooklyn J Int’l L</w:t>
      </w:r>
      <w:r>
        <w:t xml:space="preserve"> 1085</w:t>
      </w:r>
      <w:r>
        <w:rPr>
          <w:rFonts w:ascii="Courier New" w:hAnsi="Courier New" w:cs="Courier New"/>
        </w:rPr>
        <w:t>-</w:t>
      </w:r>
      <w:r>
        <w:t>1105.</w:t>
      </w:r>
    </w:p>
  </w:footnote>
  <w:footnote w:id="131">
    <w:p w:rsidR="004F3A38" w:rsidRDefault="004F3A38" w:rsidP="00397914">
      <w:pPr>
        <w:pStyle w:val="footnote"/>
      </w:pPr>
      <w:r>
        <w:rPr>
          <w:rStyle w:val="FootnoteReference"/>
        </w:rPr>
        <w:footnoteRef/>
      </w:r>
      <w:r>
        <w:t xml:space="preserve"> The experience of other bilingual jurisdictions, including Canada, Wales, and Switzerland is that the process of translation provides a useful opportunity to refine the drafting of the English text and eliminate drafting flaws.</w:t>
      </w:r>
    </w:p>
  </w:footnote>
  <w:footnote w:id="132">
    <w:p w:rsidR="004F3A38" w:rsidRPr="00397914" w:rsidRDefault="004F3A38" w:rsidP="00397914">
      <w:pPr>
        <w:pStyle w:val="FootnoteText"/>
        <w:ind w:left="720"/>
        <w:rPr>
          <w:lang w:val="en-NZ"/>
        </w:rPr>
      </w:pPr>
      <w:r>
        <w:t xml:space="preserve">71 The creation of vocabulary for novel, especially technical, subjects, is a matter of ongoing debate among Māori linguists. See John Moorfield and Lachy Paterson, “Loanwords Used in Maori-Language Newspapers” in Curnow,J, Hopa N and McRae J eds,  </w:t>
      </w:r>
      <w:r>
        <w:rPr>
          <w:i/>
        </w:rPr>
        <w:t>Rere atu, taku manu: Discoving history language and politics in the Maori-language newspapers,</w:t>
      </w:r>
      <w:r>
        <w:t xml:space="preserve"> Auckland University Press 2002, pp 60-76; Ray Harlow, “Lexical Expansion in Maori”, (1993) 102 Journal of Polynesian Society, 99-107.</w:t>
      </w:r>
      <w:r>
        <w:rPr>
          <w:lang w:val="en-NZ"/>
        </w:rPr>
        <w:tab/>
      </w:r>
    </w:p>
  </w:footnote>
  <w:footnote w:id="133">
    <w:p w:rsidR="004F3A38" w:rsidRPr="000E0F28" w:rsidRDefault="004F3A38" w:rsidP="00397914">
      <w:pPr>
        <w:pStyle w:val="footnote"/>
      </w:pPr>
      <w:r>
        <w:rPr>
          <w:rStyle w:val="FootnoteReference"/>
        </w:rPr>
        <w:footnoteRef/>
      </w:r>
      <w:r>
        <w:t xml:space="preserve"> The reviewer noted the style of the translation</w:t>
      </w:r>
      <w:r w:rsidRPr="004D510A">
        <w:t xml:space="preserve">, including </w:t>
      </w:r>
      <w:r>
        <w:t xml:space="preserve">its </w:t>
      </w:r>
      <w:r w:rsidRPr="004D510A">
        <w:t>archaisms,</w:t>
      </w:r>
      <w:r>
        <w:t xml:space="preserve"> advising </w:t>
      </w:r>
      <w:r w:rsidRPr="004D510A">
        <w:t>that this did not give rise to a lack of legal clarity</w:t>
      </w:r>
      <w:r>
        <w:t xml:space="preserve"> and verifying the language used through standard dictionaries of the Māori language.</w:t>
      </w:r>
      <w:r w:rsidRPr="004D510A">
        <w:t xml:space="preserve"> There is a touch of irony in that the “high</w:t>
      </w:r>
      <w:r>
        <w:t xml:space="preserve"> </w:t>
      </w:r>
      <w:r w:rsidRPr="004D510A">
        <w:t xml:space="preserve">style” and archaisms of the translation, </w:t>
      </w:r>
      <w:r>
        <w:t xml:space="preserve">PCO learned later, </w:t>
      </w:r>
      <w:r w:rsidRPr="004D510A">
        <w:t>mean that older colloquial speakers of the langu</w:t>
      </w:r>
      <w:r>
        <w:t>age, at least those older than 4</w:t>
      </w:r>
      <w:r w:rsidRPr="004D510A">
        <w:t>0 years, find the language of the Act difficult because of this “purification” of the vocabulary.</w:t>
      </w:r>
      <w:r w:rsidRPr="000E0F28">
        <w:t xml:space="preserve"> </w:t>
      </w:r>
    </w:p>
  </w:footnote>
  <w:footnote w:id="134">
    <w:p w:rsidR="004F3A38" w:rsidRDefault="004F3A38" w:rsidP="00397914">
      <w:pPr>
        <w:pStyle w:val="footnote"/>
      </w:pPr>
      <w:r>
        <w:rPr>
          <w:rStyle w:val="FootnoteReference"/>
        </w:rPr>
        <w:footnoteRef/>
      </w:r>
      <w:r>
        <w:t xml:space="preserve"> On the treatment of the two languages in section 12(1), requiring the Māori version as well as the English version to be given a purposive reading, </w:t>
      </w:r>
      <w:r w:rsidRPr="00C8626C">
        <w:rPr>
          <w:i/>
        </w:rPr>
        <w:t>see</w:t>
      </w:r>
      <w:r>
        <w:t xml:space="preserve"> Māmari Stephens, “Te Ture mō Te Reo Māori 2016 Māori Language Act 2016 – New directions, old problems”,  </w:t>
      </w:r>
      <w:hyperlink r:id="rId20" w:history="1">
        <w:r w:rsidRPr="002A097B">
          <w:rPr>
            <w:rStyle w:val="Hyperlink"/>
          </w:rPr>
          <w:t>Māori Law Review (July 2016)</w:t>
        </w:r>
      </w:hyperlink>
      <w:r>
        <w:t>.</w:t>
      </w:r>
    </w:p>
  </w:footnote>
  <w:footnote w:id="135">
    <w:p w:rsidR="004F3A38" w:rsidRDefault="004F3A38" w:rsidP="00397914">
      <w:pPr>
        <w:pStyle w:val="footnote"/>
      </w:pPr>
      <w:r>
        <w:rPr>
          <w:rStyle w:val="FootnoteReference"/>
        </w:rPr>
        <w:footnoteRef/>
      </w:r>
      <w:r>
        <w:t xml:space="preserve">Law Commission (UK), </w:t>
      </w:r>
      <w:r>
        <w:rPr>
          <w:i/>
        </w:rPr>
        <w:t xml:space="preserve">Form and Accessibility of the Law Applicable in Wales </w:t>
      </w:r>
      <w:r w:rsidRPr="002429E8">
        <w:t>(Law Com No 366, October 2016), chapter 10</w:t>
      </w:r>
      <w:r>
        <w:t xml:space="preserve">; </w:t>
      </w:r>
      <w:r w:rsidRPr="002429E8">
        <w:t>Dylan</w:t>
      </w:r>
      <w:r>
        <w:t xml:space="preserve"> Hughes, “The multiple roles of legislative counsel in the emerging Welsh legal jurisdiction”, Paper given to the Commonwealth Association of Legislative Counsel Conference, Edinburgh (April 2015), </w:t>
      </w:r>
      <w:r w:rsidRPr="003220FB">
        <w:rPr>
          <w:i/>
        </w:rPr>
        <w:t>CALC Newsletter</w:t>
      </w:r>
      <w:r>
        <w:t xml:space="preserve"> (November 2016) 15. The same issue is noted in relation to the language of the Territory of Nunavut by Ruth Sullivan “Multilingual, Multijural Legislation” (</w:t>
      </w:r>
      <w:hyperlink r:id="rId21" w:history="1">
        <w:r w:rsidRPr="0064704E">
          <w:rPr>
            <w:rStyle w:val="Hyperlink"/>
          </w:rPr>
          <w:t xml:space="preserve">2004), 29 </w:t>
        </w:r>
        <w:r w:rsidRPr="00744328">
          <w:rPr>
            <w:rStyle w:val="Hyperlink"/>
          </w:rPr>
          <w:t>Brooklyn J Intl L</w:t>
        </w:r>
        <w:r w:rsidRPr="0064704E">
          <w:rPr>
            <w:rStyle w:val="Hyperlink"/>
          </w:rPr>
          <w:t xml:space="preserve"> </w:t>
        </w:r>
        <w:r w:rsidRPr="0064704E" w:rsidDel="0064704E">
          <w:rPr>
            <w:rStyle w:val="Hyperlink"/>
          </w:rPr>
          <w:t>29 (2004),</w:t>
        </w:r>
        <w:r w:rsidRPr="0064704E">
          <w:rPr>
            <w:rStyle w:val="Hyperlink"/>
          </w:rPr>
          <w:t xml:space="preserve"> 985</w:t>
        </w:r>
      </w:hyperlink>
      <w:r>
        <w:t xml:space="preserve"> at 1061ff.</w:t>
      </w:r>
    </w:p>
  </w:footnote>
  <w:footnote w:id="136">
    <w:p w:rsidR="004F3A38" w:rsidRPr="00BD1245" w:rsidRDefault="004F3A38" w:rsidP="00397914">
      <w:pPr>
        <w:pStyle w:val="footnote"/>
      </w:pPr>
      <w:r>
        <w:rPr>
          <w:rStyle w:val="FootnoteReference"/>
        </w:rPr>
        <w:footnoteRef/>
      </w:r>
      <w:r>
        <w:t xml:space="preserve"> Māmari Stephens and Mary Boyce, </w:t>
      </w:r>
      <w:r>
        <w:rPr>
          <w:i/>
        </w:rPr>
        <w:t>He Papakura Reo Ture: A Dictionary of Māori Legal Terms</w:t>
      </w:r>
      <w:r>
        <w:t xml:space="preserve"> (Lexis Nexis: Wellington, 2013) vii. The Dictionary documents the sources of Māori terms used in documents to express Western legal ideas.</w:t>
      </w:r>
    </w:p>
  </w:footnote>
  <w:footnote w:id="137">
    <w:p w:rsidR="004F3A38" w:rsidRDefault="004F3A38" w:rsidP="00397914">
      <w:pPr>
        <w:pStyle w:val="footnote"/>
      </w:pPr>
      <w:r>
        <w:rPr>
          <w:rStyle w:val="FootnoteReference"/>
        </w:rPr>
        <w:footnoteRef/>
      </w:r>
      <w:r>
        <w:t xml:space="preserve"> David Feldman, “Legislation as Aspiration: Statutory Expression of Policy Goals”, Lecture for the Statute Law Society delivered at the Institute of Advanced Legal Studies, London (16 March 2015).</w:t>
      </w:r>
    </w:p>
  </w:footnote>
  <w:footnote w:id="138">
    <w:p w:rsidR="004F3A38" w:rsidRPr="004E6450" w:rsidRDefault="004F3A38" w:rsidP="00397914">
      <w:pPr>
        <w:pStyle w:val="footnote"/>
      </w:pPr>
      <w:r>
        <w:rPr>
          <w:rStyle w:val="FootnoteReference"/>
        </w:rPr>
        <w:footnoteRef/>
      </w:r>
      <w:r>
        <w:t xml:space="preserve"> Carwyn Jones, above n. </w:t>
      </w:r>
      <w:r>
        <w:fldChar w:fldCharType="begin"/>
      </w:r>
      <w:r>
        <w:instrText xml:space="preserve"> NOTEREF _Ref499150698 \h </w:instrText>
      </w:r>
      <w:r>
        <w:fldChar w:fldCharType="separate"/>
      </w:r>
      <w:r w:rsidR="00D10211">
        <w:t>61</w:t>
      </w:r>
      <w:r>
        <w:fldChar w:fldCharType="end"/>
      </w:r>
      <w:r>
        <w:t xml:space="preserve">, Tai Ahu, </w:t>
      </w:r>
      <w:r>
        <w:rPr>
          <w:i/>
        </w:rPr>
        <w:t>Te Reo Māori as a Language of New Zealand Law: The Attainment of Civic Status</w:t>
      </w:r>
      <w:r>
        <w:t xml:space="preserve"> (LLM Dissertation, Victoria University of Wellington,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2235E0" w:rsidRDefault="004F3A38" w:rsidP="00530490">
    <w:pPr>
      <w:pStyle w:val="Header"/>
    </w:pPr>
    <w:r w:rsidRPr="002235E0">
      <w:t xml:space="preserve">The Loophole – </w:t>
    </w:r>
    <w:r>
      <w:t>January 2018</w:t>
    </w:r>
  </w:p>
  <w:p w:rsidR="004F3A38" w:rsidRPr="008D1C2C" w:rsidRDefault="004F3A38" w:rsidP="00530490">
    <w:pPr>
      <w:pStyle w:val="Header"/>
      <w:pBdr>
        <w:bottom w:val="single" w:sz="4" w:space="1" w:color="auto"/>
      </w:pBdr>
      <w:rPr>
        <w:i w:val="0"/>
        <w:lang w:val="en-CA"/>
      </w:rPr>
    </w:pPr>
  </w:p>
  <w:p w:rsidR="004F3A38" w:rsidRDefault="004F3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2235E0" w:rsidRDefault="004F3A38" w:rsidP="00530490">
    <w:pPr>
      <w:pStyle w:val="Header"/>
    </w:pPr>
    <w:r>
      <w:t>Mathematics in Legislation</w:t>
    </w:r>
  </w:p>
  <w:p w:rsidR="004F3A38" w:rsidRPr="008D1C2C" w:rsidRDefault="004F3A38" w:rsidP="00530490">
    <w:pPr>
      <w:pStyle w:val="Header"/>
      <w:pBdr>
        <w:bottom w:val="single" w:sz="4" w:space="1" w:color="auto"/>
      </w:pBdr>
      <w:rPr>
        <w:i w:val="0"/>
        <w:lang w:val="en-CA"/>
      </w:rPr>
    </w:pPr>
  </w:p>
  <w:p w:rsidR="004F3A38" w:rsidRDefault="004F3A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2235E0" w:rsidRDefault="004F3A38" w:rsidP="00616112">
    <w:pPr>
      <w:pStyle w:val="Header"/>
    </w:pPr>
    <w:r w:rsidRPr="002235E0">
      <w:t xml:space="preserve">The Loophole – </w:t>
    </w:r>
    <w:r>
      <w:t>January 2018</w:t>
    </w:r>
  </w:p>
  <w:p w:rsidR="004F3A38" w:rsidRPr="008D1C2C" w:rsidRDefault="004F3A38" w:rsidP="00616112">
    <w:pPr>
      <w:pStyle w:val="Header"/>
      <w:pBdr>
        <w:bottom w:val="single" w:sz="4" w:space="1" w:color="auto"/>
      </w:pBdr>
      <w:rPr>
        <w:i w:val="0"/>
        <w:lang w:val="en-CA"/>
      </w:rPr>
    </w:pPr>
  </w:p>
  <w:p w:rsidR="004F3A38" w:rsidRDefault="004F3A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B528A1" w:rsidRDefault="004F3A38" w:rsidP="00530490">
    <w:pPr>
      <w:pStyle w:val="Header"/>
    </w:pPr>
    <w:r>
      <w:t>Multilingual Legislative Drafting in Swiss Cantons</w:t>
    </w:r>
  </w:p>
  <w:p w:rsidR="004F3A38" w:rsidRPr="00FC6710" w:rsidRDefault="004F3A38" w:rsidP="00530490">
    <w:pPr>
      <w:pStyle w:val="Header"/>
      <w:rPr>
        <w:i w:val="0"/>
        <w:szCs w:val="20"/>
      </w:rPr>
    </w:pPr>
    <w:r>
      <w:rPr>
        <w:szCs w:val="20"/>
      </w:rPr>
      <w:t>____________________________________________________________________________________________</w:t>
    </w:r>
  </w:p>
  <w:p w:rsidR="004F3A38" w:rsidRDefault="004F3A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FC6710" w:rsidRDefault="004F3A38" w:rsidP="00530490">
    <w:pPr>
      <w:pStyle w:val="Header"/>
      <w:rPr>
        <w:i w:val="0"/>
        <w:szCs w:val="20"/>
      </w:rPr>
    </w:pPr>
    <w:r>
      <w:t>I</w:t>
    </w:r>
    <w:r w:rsidRPr="00341D99">
      <w:t xml:space="preserve">ncorporation of Inuit Qaujimajatuqangit into </w:t>
    </w:r>
    <w:r>
      <w:t>L</w:t>
    </w:r>
    <w:r w:rsidRPr="00341D99">
      <w:t>egislation</w:t>
    </w:r>
    <w:r>
      <w:rPr>
        <w:szCs w:val="20"/>
      </w:rPr>
      <w:t xml:space="preserve"> ____________________________________________________________________________________________</w:t>
    </w:r>
  </w:p>
  <w:p w:rsidR="004F3A38" w:rsidRDefault="004F3A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B528A1" w:rsidRDefault="004F3A38" w:rsidP="00530490">
    <w:pPr>
      <w:pStyle w:val="Header"/>
    </w:pPr>
    <w:r>
      <w:t>Reflecting an Indigenous Perspective in Legislation</w:t>
    </w:r>
  </w:p>
  <w:p w:rsidR="004F3A38" w:rsidRPr="00FC6710" w:rsidRDefault="004F3A38" w:rsidP="00530490">
    <w:pPr>
      <w:pStyle w:val="Header"/>
      <w:rPr>
        <w:i w:val="0"/>
        <w:szCs w:val="20"/>
      </w:rPr>
    </w:pPr>
    <w:r>
      <w:rPr>
        <w:szCs w:val="20"/>
      </w:rPr>
      <w:t>____________________________________________________________________________________________</w:t>
    </w:r>
  </w:p>
  <w:p w:rsidR="004F3A38" w:rsidRDefault="004F3A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3A38" w:rsidRPr="00B528A1" w:rsidRDefault="004F3A38" w:rsidP="00530490">
    <w:pPr>
      <w:pStyle w:val="Header"/>
    </w:pPr>
    <w:r>
      <w:t>Book Review – Public Law in the Age of Statutes</w:t>
    </w:r>
  </w:p>
  <w:p w:rsidR="004F3A38" w:rsidRPr="00FC6710" w:rsidRDefault="004F3A38" w:rsidP="00530490">
    <w:pPr>
      <w:pStyle w:val="Header"/>
      <w:rPr>
        <w:i w:val="0"/>
        <w:szCs w:val="20"/>
      </w:rPr>
    </w:pPr>
    <w:r>
      <w:rPr>
        <w:szCs w:val="20"/>
      </w:rPr>
      <w:t>____________________________________________________________________________________________</w:t>
    </w:r>
  </w:p>
  <w:p w:rsidR="004F3A38" w:rsidRDefault="004F3A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38C1E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C1A90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A4810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2C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5247C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C8F2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44D7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2A94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04015"/>
    <w:multiLevelType w:val="hybridMultilevel"/>
    <w:tmpl w:val="CE6A6B1A"/>
    <w:lvl w:ilvl="0" w:tplc="EE78347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02A80EF2"/>
    <w:multiLevelType w:val="hybridMultilevel"/>
    <w:tmpl w:val="2B26A26C"/>
    <w:lvl w:ilvl="0" w:tplc="14090003">
      <w:start w:val="1"/>
      <w:numFmt w:val="bullet"/>
      <w:lvlText w:val="o"/>
      <w:lvlJc w:val="left"/>
      <w:pPr>
        <w:ind w:left="1287" w:hanging="360"/>
      </w:pPr>
      <w:rPr>
        <w:rFonts w:ascii="Courier New" w:hAnsi="Courier New" w:cs="Courier New" w:hint="default"/>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07393D34"/>
    <w:multiLevelType w:val="hybridMultilevel"/>
    <w:tmpl w:val="0C3475DA"/>
    <w:numStyleLink w:val="ImportedStyle3"/>
  </w:abstractNum>
  <w:abstractNum w:abstractNumId="14" w15:restartNumberingAfterBreak="0">
    <w:nsid w:val="0D4E0D8F"/>
    <w:multiLevelType w:val="hybridMultilevel"/>
    <w:tmpl w:val="6B66C620"/>
    <w:lvl w:ilvl="0" w:tplc="444802B0">
      <w:start w:val="1"/>
      <w:numFmt w:val="lowerLetter"/>
      <w:lvlText w:val="(%1)"/>
      <w:lvlJc w:val="left"/>
      <w:pPr>
        <w:ind w:left="1080" w:hanging="360"/>
      </w:pPr>
      <w:rPr>
        <w:rFonts w:hint="default"/>
        <w:i w:val="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152E4689"/>
    <w:multiLevelType w:val="hybridMultilevel"/>
    <w:tmpl w:val="D674D362"/>
    <w:numStyleLink w:val="ImportedStyle2"/>
  </w:abstractNum>
  <w:abstractNum w:abstractNumId="16" w15:restartNumberingAfterBreak="0">
    <w:nsid w:val="156B5340"/>
    <w:multiLevelType w:val="hybridMultilevel"/>
    <w:tmpl w:val="220478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6DA5B33"/>
    <w:multiLevelType w:val="hybridMultilevel"/>
    <w:tmpl w:val="D6DC5E6C"/>
    <w:name w:val="mainbill2"/>
    <w:lvl w:ilvl="0" w:tplc="228E2DDE">
      <w:start w:val="1"/>
      <w:numFmt w:val="decimal"/>
      <w:lvlText w:val="Slide %1."/>
      <w:lvlJc w:val="left"/>
      <w:pPr>
        <w:tabs>
          <w:tab w:val="num" w:pos="1080"/>
        </w:tabs>
        <w:ind w:left="0" w:firstLine="0"/>
      </w:pPr>
      <w:rPr>
        <w:rFonts w:ascii="Arial" w:hAnsi="Arial" w:hint="default"/>
        <w:b/>
        <w:i w:val="0"/>
        <w:color w:val="993300"/>
        <w:sz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FF52EB"/>
    <w:multiLevelType w:val="multilevel"/>
    <w:tmpl w:val="CF322676"/>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21"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22" w15:restartNumberingAfterBreak="0">
    <w:nsid w:val="2BF34979"/>
    <w:multiLevelType w:val="hybridMultilevel"/>
    <w:tmpl w:val="C4E2AB18"/>
    <w:lvl w:ilvl="0" w:tplc="14090005">
      <w:start w:val="1"/>
      <w:numFmt w:val="bullet"/>
      <w:lvlText w:val=""/>
      <w:lvlJc w:val="left"/>
      <w:pPr>
        <w:ind w:left="1146" w:hanging="360"/>
      </w:pPr>
      <w:rPr>
        <w:rFonts w:ascii="Wingdings" w:hAnsi="Wingdings"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15:restartNumberingAfterBreak="0">
    <w:nsid w:val="36661695"/>
    <w:multiLevelType w:val="hybridMultilevel"/>
    <w:tmpl w:val="0C3475DA"/>
    <w:styleLink w:val="ImportedStyle3"/>
    <w:lvl w:ilvl="0" w:tplc="C834187C">
      <w:start w:val="1"/>
      <w:numFmt w:val="bullet"/>
      <w:lvlText w:val="-"/>
      <w:lvlJc w:val="left"/>
      <w:pPr>
        <w:ind w:left="177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A94C0AA">
      <w:start w:val="1"/>
      <w:numFmt w:val="bullet"/>
      <w:lvlText w:val="o"/>
      <w:lvlJc w:val="left"/>
      <w:pPr>
        <w:ind w:left="249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706140">
      <w:start w:val="1"/>
      <w:numFmt w:val="bullet"/>
      <w:lvlText w:val="▪"/>
      <w:lvlJc w:val="left"/>
      <w:pPr>
        <w:ind w:left="32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320C06">
      <w:start w:val="1"/>
      <w:numFmt w:val="bullet"/>
      <w:lvlText w:val="·"/>
      <w:lvlJc w:val="left"/>
      <w:pPr>
        <w:ind w:left="393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658FBC4">
      <w:start w:val="1"/>
      <w:numFmt w:val="bullet"/>
      <w:lvlText w:val="o"/>
      <w:lvlJc w:val="left"/>
      <w:pPr>
        <w:ind w:left="465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A0168C">
      <w:start w:val="1"/>
      <w:numFmt w:val="bullet"/>
      <w:lvlText w:val="▪"/>
      <w:lvlJc w:val="left"/>
      <w:pPr>
        <w:ind w:left="537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526B66C">
      <w:start w:val="1"/>
      <w:numFmt w:val="bullet"/>
      <w:lvlText w:val="·"/>
      <w:lvlJc w:val="left"/>
      <w:pPr>
        <w:ind w:left="609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B8A86C">
      <w:start w:val="1"/>
      <w:numFmt w:val="bullet"/>
      <w:lvlText w:val="o"/>
      <w:lvlJc w:val="left"/>
      <w:pPr>
        <w:ind w:left="681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78AD7A">
      <w:start w:val="1"/>
      <w:numFmt w:val="bullet"/>
      <w:lvlText w:val="▪"/>
      <w:lvlJc w:val="left"/>
      <w:pPr>
        <w:ind w:left="753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2808C0"/>
    <w:multiLevelType w:val="singleLevel"/>
    <w:tmpl w:val="588EA71E"/>
    <w:lvl w:ilvl="0">
      <w:start w:val="1"/>
      <w:numFmt w:val="bullet"/>
      <w:pStyle w:val="NotesPerm2"/>
      <w:lvlText w:val=""/>
      <w:lvlJc w:val="left"/>
      <w:pPr>
        <w:tabs>
          <w:tab w:val="num" w:pos="1446"/>
        </w:tabs>
        <w:ind w:left="1446" w:hanging="567"/>
      </w:pPr>
      <w:rPr>
        <w:rFonts w:ascii="Symbol" w:hAnsi="Symbol" w:hint="default"/>
      </w:rPr>
    </w:lvl>
  </w:abstractNum>
  <w:abstractNum w:abstractNumId="27" w15:restartNumberingAfterBreak="0">
    <w:nsid w:val="401C38D9"/>
    <w:multiLevelType w:val="hybridMultilevel"/>
    <w:tmpl w:val="465490E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9" w15:restartNumberingAfterBreak="0">
    <w:nsid w:val="5278025D"/>
    <w:multiLevelType w:val="multilevel"/>
    <w:tmpl w:val="2A4CE878"/>
    <w:lvl w:ilvl="0">
      <w:start w:val="1"/>
      <w:numFmt w:val="bullet"/>
      <w:lvlText w:val=""/>
      <w:lvlJc w:val="left"/>
      <w:pPr>
        <w:ind w:left="720" w:hanging="360"/>
      </w:pPr>
      <w:rPr>
        <w:rFonts w:ascii="Symbol" w:hAnsi="Symbol" w:hint="default"/>
      </w:rPr>
    </w:lvl>
    <w:lvl w:ilvl="1">
      <w:start w:val="1"/>
      <w:numFmt w:val="bullet"/>
      <w:lvlText w:val=""/>
      <w:lvlJc w:val="left"/>
      <w:pPr>
        <w:ind w:left="1077" w:hanging="357"/>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31"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32" w15:restartNumberingAfterBreak="0">
    <w:nsid w:val="66760287"/>
    <w:multiLevelType w:val="hybridMultilevel"/>
    <w:tmpl w:val="2FCE63B4"/>
    <w:lvl w:ilvl="0" w:tplc="0EE23EEC">
      <w:start w:val="1"/>
      <w:numFmt w:val="decimal"/>
      <w:lvlText w:val="(%1)"/>
      <w:lvlJc w:val="left"/>
      <w:pPr>
        <w:ind w:left="1080" w:hanging="360"/>
      </w:pPr>
      <w:rPr>
        <w:rFonts w:hint="default"/>
        <w:color w:val="000000"/>
        <w:sz w:val="20"/>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742F6E46"/>
    <w:multiLevelType w:val="hybridMultilevel"/>
    <w:tmpl w:val="9D4CE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D13501"/>
    <w:multiLevelType w:val="hybridMultilevel"/>
    <w:tmpl w:val="B85E7B3A"/>
    <w:lvl w:ilvl="0" w:tplc="AE8EFDDE">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5" w15:restartNumberingAfterBreak="0">
    <w:nsid w:val="76F3133F"/>
    <w:multiLevelType w:val="hybridMultilevel"/>
    <w:tmpl w:val="9D96F3AA"/>
    <w:lvl w:ilvl="0" w:tplc="4EEAD190">
      <w:start w:val="1"/>
      <w:numFmt w:val="decimal"/>
      <w:pStyle w:val="Slidelabel"/>
      <w:lvlText w:val="Example %1"/>
      <w:lvlJc w:val="left"/>
      <w:pPr>
        <w:ind w:left="927" w:hanging="360"/>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6" w15:restartNumberingAfterBreak="0">
    <w:nsid w:val="77070E43"/>
    <w:multiLevelType w:val="hybridMultilevel"/>
    <w:tmpl w:val="9F286538"/>
    <w:lvl w:ilvl="0" w:tplc="0EE23EEC">
      <w:start w:val="1"/>
      <w:numFmt w:val="decimal"/>
      <w:lvlText w:val="(%1)"/>
      <w:lvlJc w:val="left"/>
      <w:pPr>
        <w:ind w:left="1930" w:hanging="360"/>
      </w:pPr>
      <w:rPr>
        <w:rFonts w:hint="default"/>
        <w:color w:val="000000"/>
        <w:sz w:val="20"/>
      </w:rPr>
    </w:lvl>
    <w:lvl w:ilvl="1" w:tplc="10090019" w:tentative="1">
      <w:start w:val="1"/>
      <w:numFmt w:val="lowerLetter"/>
      <w:lvlText w:val="%2."/>
      <w:lvlJc w:val="left"/>
      <w:pPr>
        <w:ind w:left="2650" w:hanging="360"/>
      </w:pPr>
    </w:lvl>
    <w:lvl w:ilvl="2" w:tplc="1009001B" w:tentative="1">
      <w:start w:val="1"/>
      <w:numFmt w:val="lowerRoman"/>
      <w:lvlText w:val="%3."/>
      <w:lvlJc w:val="right"/>
      <w:pPr>
        <w:ind w:left="3370" w:hanging="180"/>
      </w:pPr>
    </w:lvl>
    <w:lvl w:ilvl="3" w:tplc="1009000F" w:tentative="1">
      <w:start w:val="1"/>
      <w:numFmt w:val="decimal"/>
      <w:lvlText w:val="%4."/>
      <w:lvlJc w:val="left"/>
      <w:pPr>
        <w:ind w:left="4090" w:hanging="360"/>
      </w:pPr>
    </w:lvl>
    <w:lvl w:ilvl="4" w:tplc="10090019" w:tentative="1">
      <w:start w:val="1"/>
      <w:numFmt w:val="lowerLetter"/>
      <w:lvlText w:val="%5."/>
      <w:lvlJc w:val="left"/>
      <w:pPr>
        <w:ind w:left="4810" w:hanging="360"/>
      </w:pPr>
    </w:lvl>
    <w:lvl w:ilvl="5" w:tplc="1009001B" w:tentative="1">
      <w:start w:val="1"/>
      <w:numFmt w:val="lowerRoman"/>
      <w:lvlText w:val="%6."/>
      <w:lvlJc w:val="right"/>
      <w:pPr>
        <w:ind w:left="5530" w:hanging="180"/>
      </w:pPr>
    </w:lvl>
    <w:lvl w:ilvl="6" w:tplc="1009000F" w:tentative="1">
      <w:start w:val="1"/>
      <w:numFmt w:val="decimal"/>
      <w:lvlText w:val="%7."/>
      <w:lvlJc w:val="left"/>
      <w:pPr>
        <w:ind w:left="6250" w:hanging="360"/>
      </w:pPr>
    </w:lvl>
    <w:lvl w:ilvl="7" w:tplc="10090019" w:tentative="1">
      <w:start w:val="1"/>
      <w:numFmt w:val="lowerLetter"/>
      <w:lvlText w:val="%8."/>
      <w:lvlJc w:val="left"/>
      <w:pPr>
        <w:ind w:left="6970" w:hanging="360"/>
      </w:pPr>
    </w:lvl>
    <w:lvl w:ilvl="8" w:tplc="1009001B" w:tentative="1">
      <w:start w:val="1"/>
      <w:numFmt w:val="lowerRoman"/>
      <w:lvlText w:val="%9."/>
      <w:lvlJc w:val="right"/>
      <w:pPr>
        <w:ind w:left="7690" w:hanging="180"/>
      </w:pPr>
    </w:lvl>
  </w:abstractNum>
  <w:abstractNum w:abstractNumId="37" w15:restartNumberingAfterBreak="0">
    <w:nsid w:val="7E876761"/>
    <w:multiLevelType w:val="hybridMultilevel"/>
    <w:tmpl w:val="71BCA9B4"/>
    <w:lvl w:ilvl="0" w:tplc="444802B0">
      <w:start w:val="1"/>
      <w:numFmt w:val="lowerLetter"/>
      <w:lvlText w:val="(%1)"/>
      <w:lvlJc w:val="left"/>
      <w:pPr>
        <w:ind w:left="2251" w:hanging="360"/>
      </w:pPr>
      <w:rPr>
        <w:rFonts w:hint="default"/>
        <w:i w:val="0"/>
      </w:rPr>
    </w:lvl>
    <w:lvl w:ilvl="1" w:tplc="10090019" w:tentative="1">
      <w:start w:val="1"/>
      <w:numFmt w:val="lowerLetter"/>
      <w:lvlText w:val="%2."/>
      <w:lvlJc w:val="left"/>
      <w:pPr>
        <w:ind w:left="2971" w:hanging="360"/>
      </w:pPr>
    </w:lvl>
    <w:lvl w:ilvl="2" w:tplc="1009001B" w:tentative="1">
      <w:start w:val="1"/>
      <w:numFmt w:val="lowerRoman"/>
      <w:lvlText w:val="%3."/>
      <w:lvlJc w:val="right"/>
      <w:pPr>
        <w:ind w:left="3691" w:hanging="180"/>
      </w:pPr>
    </w:lvl>
    <w:lvl w:ilvl="3" w:tplc="1009000F" w:tentative="1">
      <w:start w:val="1"/>
      <w:numFmt w:val="decimal"/>
      <w:lvlText w:val="%4."/>
      <w:lvlJc w:val="left"/>
      <w:pPr>
        <w:ind w:left="4411" w:hanging="360"/>
      </w:pPr>
    </w:lvl>
    <w:lvl w:ilvl="4" w:tplc="10090019" w:tentative="1">
      <w:start w:val="1"/>
      <w:numFmt w:val="lowerLetter"/>
      <w:lvlText w:val="%5."/>
      <w:lvlJc w:val="left"/>
      <w:pPr>
        <w:ind w:left="5131" w:hanging="360"/>
      </w:pPr>
    </w:lvl>
    <w:lvl w:ilvl="5" w:tplc="1009001B" w:tentative="1">
      <w:start w:val="1"/>
      <w:numFmt w:val="lowerRoman"/>
      <w:lvlText w:val="%6."/>
      <w:lvlJc w:val="right"/>
      <w:pPr>
        <w:ind w:left="5851" w:hanging="180"/>
      </w:pPr>
    </w:lvl>
    <w:lvl w:ilvl="6" w:tplc="1009000F" w:tentative="1">
      <w:start w:val="1"/>
      <w:numFmt w:val="decimal"/>
      <w:lvlText w:val="%7."/>
      <w:lvlJc w:val="left"/>
      <w:pPr>
        <w:ind w:left="6571" w:hanging="360"/>
      </w:pPr>
    </w:lvl>
    <w:lvl w:ilvl="7" w:tplc="10090019" w:tentative="1">
      <w:start w:val="1"/>
      <w:numFmt w:val="lowerLetter"/>
      <w:lvlText w:val="%8."/>
      <w:lvlJc w:val="left"/>
      <w:pPr>
        <w:ind w:left="7291" w:hanging="360"/>
      </w:pPr>
    </w:lvl>
    <w:lvl w:ilvl="8" w:tplc="1009001B" w:tentative="1">
      <w:start w:val="1"/>
      <w:numFmt w:val="lowerRoman"/>
      <w:lvlText w:val="%9."/>
      <w:lvlJc w:val="right"/>
      <w:pPr>
        <w:ind w:left="8011" w:hanging="180"/>
      </w:pPr>
    </w:lvl>
  </w:abstractNum>
  <w:num w:numId="1">
    <w:abstractNumId w:val="21"/>
  </w:num>
  <w:num w:numId="2">
    <w:abstractNumId w:val="20"/>
  </w:num>
  <w:num w:numId="3">
    <w:abstractNumId w:val="23"/>
  </w:num>
  <w:num w:numId="4">
    <w:abstractNumId w:val="34"/>
  </w:num>
  <w:num w:numId="5">
    <w:abstractNumId w:val="3"/>
  </w:num>
  <w:num w:numId="6">
    <w:abstractNumId w:val="30"/>
  </w:num>
  <w:num w:numId="7">
    <w:abstractNumId w:val="31"/>
  </w:num>
  <w:num w:numId="8">
    <w:abstractNumId w:val="8"/>
  </w:num>
  <w:num w:numId="9">
    <w:abstractNumId w:val="28"/>
  </w:num>
  <w:num w:numId="10">
    <w:abstractNumId w:val="24"/>
  </w:num>
  <w:num w:numId="11">
    <w:abstractNumId w:val="18"/>
  </w:num>
  <w:num w:numId="12">
    <w:abstractNumId w:val="12"/>
  </w:num>
  <w:num w:numId="13">
    <w:abstractNumId w:val="19"/>
  </w:num>
  <w:num w:numId="14">
    <w:abstractNumId w:val="9"/>
  </w:num>
  <w:num w:numId="15">
    <w:abstractNumId w:val="7"/>
  </w:num>
  <w:num w:numId="16">
    <w:abstractNumId w:val="6"/>
  </w:num>
  <w:num w:numId="17">
    <w:abstractNumId w:val="5"/>
  </w:num>
  <w:num w:numId="18">
    <w:abstractNumId w:val="4"/>
  </w:num>
  <w:num w:numId="19">
    <w:abstractNumId w:val="2"/>
  </w:num>
  <w:num w:numId="20">
    <w:abstractNumId w:val="1"/>
  </w:num>
  <w:num w:numId="21">
    <w:abstractNumId w:val="0"/>
  </w:num>
  <w:num w:numId="22">
    <w:abstractNumId w:val="26"/>
  </w:num>
  <w:num w:numId="23">
    <w:abstractNumId w:val="11"/>
  </w:num>
  <w:num w:numId="24">
    <w:abstractNumId w:val="35"/>
  </w:num>
  <w:num w:numId="25">
    <w:abstractNumId w:val="10"/>
  </w:num>
  <w:num w:numId="26">
    <w:abstractNumId w:val="14"/>
  </w:num>
  <w:num w:numId="27">
    <w:abstractNumId w:val="16"/>
  </w:num>
  <w:num w:numId="28">
    <w:abstractNumId w:val="29"/>
  </w:num>
  <w:num w:numId="29">
    <w:abstractNumId w:val="32"/>
  </w:num>
  <w:num w:numId="30">
    <w:abstractNumId w:val="22"/>
  </w:num>
  <w:num w:numId="31">
    <w:abstractNumId w:val="27"/>
  </w:num>
  <w:num w:numId="32">
    <w:abstractNumId w:val="37"/>
  </w:num>
  <w:num w:numId="33">
    <w:abstractNumId w:val="36"/>
  </w:num>
  <w:num w:numId="34">
    <w:abstractNumId w:val="15"/>
  </w:num>
  <w:num w:numId="35">
    <w:abstractNumId w:val="25"/>
  </w:num>
  <w:num w:numId="36">
    <w:abstractNumId w:val="13"/>
  </w:num>
  <w:num w:numId="37">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A4E"/>
    <w:rsid w:val="00002DE2"/>
    <w:rsid w:val="00002E66"/>
    <w:rsid w:val="000073C7"/>
    <w:rsid w:val="00022741"/>
    <w:rsid w:val="000245B8"/>
    <w:rsid w:val="00024F09"/>
    <w:rsid w:val="00024FD4"/>
    <w:rsid w:val="00027DA1"/>
    <w:rsid w:val="00031815"/>
    <w:rsid w:val="00032C2C"/>
    <w:rsid w:val="00033A46"/>
    <w:rsid w:val="00042D5B"/>
    <w:rsid w:val="00045A68"/>
    <w:rsid w:val="00050B64"/>
    <w:rsid w:val="00050C8C"/>
    <w:rsid w:val="00051681"/>
    <w:rsid w:val="00052F15"/>
    <w:rsid w:val="000534D5"/>
    <w:rsid w:val="00057DA5"/>
    <w:rsid w:val="00072C5A"/>
    <w:rsid w:val="000761FA"/>
    <w:rsid w:val="00085885"/>
    <w:rsid w:val="000942F1"/>
    <w:rsid w:val="0009567D"/>
    <w:rsid w:val="000972B8"/>
    <w:rsid w:val="000A26DE"/>
    <w:rsid w:val="000A42A9"/>
    <w:rsid w:val="000C50E2"/>
    <w:rsid w:val="000C618E"/>
    <w:rsid w:val="000D117B"/>
    <w:rsid w:val="000D1BB4"/>
    <w:rsid w:val="000E05CB"/>
    <w:rsid w:val="000E0F42"/>
    <w:rsid w:val="000E6BAA"/>
    <w:rsid w:val="000E7A1F"/>
    <w:rsid w:val="000F4833"/>
    <w:rsid w:val="000F641B"/>
    <w:rsid w:val="0010105E"/>
    <w:rsid w:val="0010128A"/>
    <w:rsid w:val="00103E1A"/>
    <w:rsid w:val="001040D3"/>
    <w:rsid w:val="00112CD5"/>
    <w:rsid w:val="00113B9A"/>
    <w:rsid w:val="00114326"/>
    <w:rsid w:val="001214BD"/>
    <w:rsid w:val="00126F4F"/>
    <w:rsid w:val="0012760D"/>
    <w:rsid w:val="00136075"/>
    <w:rsid w:val="00143B86"/>
    <w:rsid w:val="0014648D"/>
    <w:rsid w:val="001559E4"/>
    <w:rsid w:val="001652E1"/>
    <w:rsid w:val="0017532C"/>
    <w:rsid w:val="00180935"/>
    <w:rsid w:val="00181EEE"/>
    <w:rsid w:val="00185C9D"/>
    <w:rsid w:val="00192C5C"/>
    <w:rsid w:val="0019525C"/>
    <w:rsid w:val="00196947"/>
    <w:rsid w:val="00196F80"/>
    <w:rsid w:val="001A1DCC"/>
    <w:rsid w:val="001B2091"/>
    <w:rsid w:val="001B28C9"/>
    <w:rsid w:val="001B36B5"/>
    <w:rsid w:val="001C5BC6"/>
    <w:rsid w:val="001F1A24"/>
    <w:rsid w:val="001F7D8F"/>
    <w:rsid w:val="00201681"/>
    <w:rsid w:val="00211301"/>
    <w:rsid w:val="002130F2"/>
    <w:rsid w:val="002168DE"/>
    <w:rsid w:val="00221A11"/>
    <w:rsid w:val="0022779E"/>
    <w:rsid w:val="002303D1"/>
    <w:rsid w:val="002320FA"/>
    <w:rsid w:val="00235A17"/>
    <w:rsid w:val="00241242"/>
    <w:rsid w:val="00242BAC"/>
    <w:rsid w:val="00245D7D"/>
    <w:rsid w:val="002461C3"/>
    <w:rsid w:val="0025158A"/>
    <w:rsid w:val="00253E71"/>
    <w:rsid w:val="002608F8"/>
    <w:rsid w:val="002611C5"/>
    <w:rsid w:val="0026174C"/>
    <w:rsid w:val="00262B5D"/>
    <w:rsid w:val="00263F91"/>
    <w:rsid w:val="00264FA6"/>
    <w:rsid w:val="0026630E"/>
    <w:rsid w:val="00266618"/>
    <w:rsid w:val="002703CF"/>
    <w:rsid w:val="00270BE4"/>
    <w:rsid w:val="00280023"/>
    <w:rsid w:val="00281E93"/>
    <w:rsid w:val="00282A7D"/>
    <w:rsid w:val="00295769"/>
    <w:rsid w:val="00297A69"/>
    <w:rsid w:val="002A3FAE"/>
    <w:rsid w:val="002A3FC2"/>
    <w:rsid w:val="002B1E44"/>
    <w:rsid w:val="002B2BCD"/>
    <w:rsid w:val="002B4E6F"/>
    <w:rsid w:val="002B683B"/>
    <w:rsid w:val="002C377E"/>
    <w:rsid w:val="002C55E0"/>
    <w:rsid w:val="002C61DD"/>
    <w:rsid w:val="002C6596"/>
    <w:rsid w:val="002D01DA"/>
    <w:rsid w:val="002D24D1"/>
    <w:rsid w:val="002E0615"/>
    <w:rsid w:val="002E2A4D"/>
    <w:rsid w:val="002E3E53"/>
    <w:rsid w:val="002E4E39"/>
    <w:rsid w:val="002F0A43"/>
    <w:rsid w:val="002F63A1"/>
    <w:rsid w:val="002F6BE3"/>
    <w:rsid w:val="002F7F30"/>
    <w:rsid w:val="003020E7"/>
    <w:rsid w:val="00312806"/>
    <w:rsid w:val="00321958"/>
    <w:rsid w:val="00325F3F"/>
    <w:rsid w:val="00325FA7"/>
    <w:rsid w:val="00330B53"/>
    <w:rsid w:val="0034368B"/>
    <w:rsid w:val="003514F5"/>
    <w:rsid w:val="003619A5"/>
    <w:rsid w:val="0036302A"/>
    <w:rsid w:val="003635E7"/>
    <w:rsid w:val="003658BF"/>
    <w:rsid w:val="00371DAA"/>
    <w:rsid w:val="003765AE"/>
    <w:rsid w:val="003768D8"/>
    <w:rsid w:val="00381879"/>
    <w:rsid w:val="003828A6"/>
    <w:rsid w:val="00385114"/>
    <w:rsid w:val="00394AE6"/>
    <w:rsid w:val="00395F01"/>
    <w:rsid w:val="00395FF5"/>
    <w:rsid w:val="00396CA3"/>
    <w:rsid w:val="00397914"/>
    <w:rsid w:val="003A378B"/>
    <w:rsid w:val="003B056D"/>
    <w:rsid w:val="003B3B97"/>
    <w:rsid w:val="003B6F88"/>
    <w:rsid w:val="003B782E"/>
    <w:rsid w:val="003C054A"/>
    <w:rsid w:val="003C544C"/>
    <w:rsid w:val="003D0C7C"/>
    <w:rsid w:val="003E05B2"/>
    <w:rsid w:val="003E2C8D"/>
    <w:rsid w:val="003F31C1"/>
    <w:rsid w:val="003F790B"/>
    <w:rsid w:val="004012C9"/>
    <w:rsid w:val="0040577C"/>
    <w:rsid w:val="00405D1C"/>
    <w:rsid w:val="004120CC"/>
    <w:rsid w:val="00412AD3"/>
    <w:rsid w:val="00415ED9"/>
    <w:rsid w:val="00416380"/>
    <w:rsid w:val="00430BC8"/>
    <w:rsid w:val="00431C42"/>
    <w:rsid w:val="004375A8"/>
    <w:rsid w:val="00447328"/>
    <w:rsid w:val="00457934"/>
    <w:rsid w:val="00457983"/>
    <w:rsid w:val="00462E50"/>
    <w:rsid w:val="004634B3"/>
    <w:rsid w:val="00471103"/>
    <w:rsid w:val="00473917"/>
    <w:rsid w:val="00475C38"/>
    <w:rsid w:val="00482699"/>
    <w:rsid w:val="00487435"/>
    <w:rsid w:val="00493D0A"/>
    <w:rsid w:val="004A1457"/>
    <w:rsid w:val="004A2F5E"/>
    <w:rsid w:val="004A42F2"/>
    <w:rsid w:val="004B07CD"/>
    <w:rsid w:val="004B2FDB"/>
    <w:rsid w:val="004B6F89"/>
    <w:rsid w:val="004C017B"/>
    <w:rsid w:val="004C03EC"/>
    <w:rsid w:val="004D3002"/>
    <w:rsid w:val="004E2E6D"/>
    <w:rsid w:val="004E7881"/>
    <w:rsid w:val="004F0D71"/>
    <w:rsid w:val="004F1AF3"/>
    <w:rsid w:val="004F3A38"/>
    <w:rsid w:val="004F3D67"/>
    <w:rsid w:val="004F63A5"/>
    <w:rsid w:val="00501490"/>
    <w:rsid w:val="005023DB"/>
    <w:rsid w:val="0050251B"/>
    <w:rsid w:val="00517AE9"/>
    <w:rsid w:val="00524708"/>
    <w:rsid w:val="00530490"/>
    <w:rsid w:val="0053627E"/>
    <w:rsid w:val="00537A49"/>
    <w:rsid w:val="00540857"/>
    <w:rsid w:val="00552395"/>
    <w:rsid w:val="005577DC"/>
    <w:rsid w:val="00565038"/>
    <w:rsid w:val="00567153"/>
    <w:rsid w:val="0057609F"/>
    <w:rsid w:val="00577507"/>
    <w:rsid w:val="00583361"/>
    <w:rsid w:val="005955D7"/>
    <w:rsid w:val="005A0C47"/>
    <w:rsid w:val="005A2794"/>
    <w:rsid w:val="005B0E95"/>
    <w:rsid w:val="005B7965"/>
    <w:rsid w:val="005C201A"/>
    <w:rsid w:val="005C6BFE"/>
    <w:rsid w:val="005D2805"/>
    <w:rsid w:val="005E1E22"/>
    <w:rsid w:val="005E4928"/>
    <w:rsid w:val="005E50AB"/>
    <w:rsid w:val="005F175A"/>
    <w:rsid w:val="005F4D51"/>
    <w:rsid w:val="006013CC"/>
    <w:rsid w:val="006018AB"/>
    <w:rsid w:val="00607C13"/>
    <w:rsid w:val="00616112"/>
    <w:rsid w:val="006206C2"/>
    <w:rsid w:val="006227B9"/>
    <w:rsid w:val="00624633"/>
    <w:rsid w:val="00624A7D"/>
    <w:rsid w:val="006251BE"/>
    <w:rsid w:val="00625742"/>
    <w:rsid w:val="006302E1"/>
    <w:rsid w:val="006347DB"/>
    <w:rsid w:val="00634C82"/>
    <w:rsid w:val="006417A2"/>
    <w:rsid w:val="00641F68"/>
    <w:rsid w:val="00642E34"/>
    <w:rsid w:val="00643904"/>
    <w:rsid w:val="0065179C"/>
    <w:rsid w:val="00652D54"/>
    <w:rsid w:val="00656EED"/>
    <w:rsid w:val="0066060C"/>
    <w:rsid w:val="00674F6F"/>
    <w:rsid w:val="00677D37"/>
    <w:rsid w:val="0068176C"/>
    <w:rsid w:val="00687B45"/>
    <w:rsid w:val="00692AED"/>
    <w:rsid w:val="00693B1F"/>
    <w:rsid w:val="00693CAC"/>
    <w:rsid w:val="00697163"/>
    <w:rsid w:val="006A1511"/>
    <w:rsid w:val="006A1D75"/>
    <w:rsid w:val="006A7CD5"/>
    <w:rsid w:val="006B364D"/>
    <w:rsid w:val="006B5722"/>
    <w:rsid w:val="006B637D"/>
    <w:rsid w:val="006C0102"/>
    <w:rsid w:val="006C6D2B"/>
    <w:rsid w:val="006C7820"/>
    <w:rsid w:val="006D4A42"/>
    <w:rsid w:val="006E6677"/>
    <w:rsid w:val="006E67EB"/>
    <w:rsid w:val="006F2511"/>
    <w:rsid w:val="00703D5F"/>
    <w:rsid w:val="00705FBB"/>
    <w:rsid w:val="00721104"/>
    <w:rsid w:val="007213CC"/>
    <w:rsid w:val="00721823"/>
    <w:rsid w:val="00735F04"/>
    <w:rsid w:val="00737A0E"/>
    <w:rsid w:val="00737B77"/>
    <w:rsid w:val="00741A42"/>
    <w:rsid w:val="00742366"/>
    <w:rsid w:val="007451D3"/>
    <w:rsid w:val="00762176"/>
    <w:rsid w:val="0076218E"/>
    <w:rsid w:val="00762A1B"/>
    <w:rsid w:val="00765784"/>
    <w:rsid w:val="0076598B"/>
    <w:rsid w:val="0076677B"/>
    <w:rsid w:val="00766C89"/>
    <w:rsid w:val="00767ED5"/>
    <w:rsid w:val="007729C6"/>
    <w:rsid w:val="00790DD4"/>
    <w:rsid w:val="00793337"/>
    <w:rsid w:val="0079678C"/>
    <w:rsid w:val="007A172D"/>
    <w:rsid w:val="007B019F"/>
    <w:rsid w:val="007B70F0"/>
    <w:rsid w:val="007C0E36"/>
    <w:rsid w:val="007C26E6"/>
    <w:rsid w:val="007C2E34"/>
    <w:rsid w:val="007C6A4E"/>
    <w:rsid w:val="007C7B99"/>
    <w:rsid w:val="007D6E36"/>
    <w:rsid w:val="007E1DAD"/>
    <w:rsid w:val="007E6A3B"/>
    <w:rsid w:val="007F14D5"/>
    <w:rsid w:val="007F19D7"/>
    <w:rsid w:val="00804660"/>
    <w:rsid w:val="00804951"/>
    <w:rsid w:val="0080519B"/>
    <w:rsid w:val="00805BD6"/>
    <w:rsid w:val="008064FC"/>
    <w:rsid w:val="00807E7B"/>
    <w:rsid w:val="008110DF"/>
    <w:rsid w:val="00817A5D"/>
    <w:rsid w:val="008248DE"/>
    <w:rsid w:val="00827EBB"/>
    <w:rsid w:val="00834DE4"/>
    <w:rsid w:val="00837A28"/>
    <w:rsid w:val="00843B8F"/>
    <w:rsid w:val="00843D13"/>
    <w:rsid w:val="00846E92"/>
    <w:rsid w:val="00847B09"/>
    <w:rsid w:val="00851524"/>
    <w:rsid w:val="00852BFC"/>
    <w:rsid w:val="008560A2"/>
    <w:rsid w:val="00860814"/>
    <w:rsid w:val="008624C2"/>
    <w:rsid w:val="00863CF9"/>
    <w:rsid w:val="0086694E"/>
    <w:rsid w:val="00873C40"/>
    <w:rsid w:val="008805A6"/>
    <w:rsid w:val="00885BC6"/>
    <w:rsid w:val="00890FF5"/>
    <w:rsid w:val="00891AF1"/>
    <w:rsid w:val="008A100C"/>
    <w:rsid w:val="008A35DA"/>
    <w:rsid w:val="008A41CA"/>
    <w:rsid w:val="008B57FD"/>
    <w:rsid w:val="008C0AFF"/>
    <w:rsid w:val="008C1A1C"/>
    <w:rsid w:val="008D1C2C"/>
    <w:rsid w:val="008D6515"/>
    <w:rsid w:val="008D668E"/>
    <w:rsid w:val="008E583A"/>
    <w:rsid w:val="008F4177"/>
    <w:rsid w:val="008F485F"/>
    <w:rsid w:val="0090002B"/>
    <w:rsid w:val="00900B87"/>
    <w:rsid w:val="00904B43"/>
    <w:rsid w:val="00922869"/>
    <w:rsid w:val="00927C33"/>
    <w:rsid w:val="00934252"/>
    <w:rsid w:val="00942A33"/>
    <w:rsid w:val="00945CB3"/>
    <w:rsid w:val="00945EA3"/>
    <w:rsid w:val="00946968"/>
    <w:rsid w:val="00946BD5"/>
    <w:rsid w:val="009478C4"/>
    <w:rsid w:val="00947E01"/>
    <w:rsid w:val="009523AF"/>
    <w:rsid w:val="00952C38"/>
    <w:rsid w:val="009569B5"/>
    <w:rsid w:val="0095710D"/>
    <w:rsid w:val="00962EA7"/>
    <w:rsid w:val="009642BB"/>
    <w:rsid w:val="00966B5C"/>
    <w:rsid w:val="00974030"/>
    <w:rsid w:val="0097772C"/>
    <w:rsid w:val="00982A38"/>
    <w:rsid w:val="0098647A"/>
    <w:rsid w:val="00987867"/>
    <w:rsid w:val="009A32F5"/>
    <w:rsid w:val="009A424C"/>
    <w:rsid w:val="009A5101"/>
    <w:rsid w:val="009B0D2F"/>
    <w:rsid w:val="009B2D26"/>
    <w:rsid w:val="009B3474"/>
    <w:rsid w:val="009B3AB4"/>
    <w:rsid w:val="009C5706"/>
    <w:rsid w:val="009D566B"/>
    <w:rsid w:val="009E5384"/>
    <w:rsid w:val="009F407B"/>
    <w:rsid w:val="009F43D2"/>
    <w:rsid w:val="00A02AE3"/>
    <w:rsid w:val="00A05A2A"/>
    <w:rsid w:val="00A0639E"/>
    <w:rsid w:val="00A07057"/>
    <w:rsid w:val="00A10DFA"/>
    <w:rsid w:val="00A217C1"/>
    <w:rsid w:val="00A2628A"/>
    <w:rsid w:val="00A3464A"/>
    <w:rsid w:val="00A439E2"/>
    <w:rsid w:val="00A47492"/>
    <w:rsid w:val="00A50BF9"/>
    <w:rsid w:val="00A56C6A"/>
    <w:rsid w:val="00A56FFF"/>
    <w:rsid w:val="00A67224"/>
    <w:rsid w:val="00A71524"/>
    <w:rsid w:val="00A80393"/>
    <w:rsid w:val="00A8780A"/>
    <w:rsid w:val="00A939F3"/>
    <w:rsid w:val="00A94B62"/>
    <w:rsid w:val="00AA479E"/>
    <w:rsid w:val="00AA487A"/>
    <w:rsid w:val="00AA50E1"/>
    <w:rsid w:val="00AA5EDF"/>
    <w:rsid w:val="00AB02E4"/>
    <w:rsid w:val="00AB1984"/>
    <w:rsid w:val="00AB3CD9"/>
    <w:rsid w:val="00AC344B"/>
    <w:rsid w:val="00AC35C0"/>
    <w:rsid w:val="00AC599E"/>
    <w:rsid w:val="00AD796C"/>
    <w:rsid w:val="00AE1B5B"/>
    <w:rsid w:val="00AE2E2E"/>
    <w:rsid w:val="00AE62F7"/>
    <w:rsid w:val="00AF5220"/>
    <w:rsid w:val="00B003C8"/>
    <w:rsid w:val="00B0518B"/>
    <w:rsid w:val="00B118A6"/>
    <w:rsid w:val="00B13601"/>
    <w:rsid w:val="00B15D57"/>
    <w:rsid w:val="00B16B39"/>
    <w:rsid w:val="00B17EA6"/>
    <w:rsid w:val="00B226BF"/>
    <w:rsid w:val="00B23994"/>
    <w:rsid w:val="00B359A4"/>
    <w:rsid w:val="00B36A53"/>
    <w:rsid w:val="00B3780A"/>
    <w:rsid w:val="00B417AB"/>
    <w:rsid w:val="00B42662"/>
    <w:rsid w:val="00B463A5"/>
    <w:rsid w:val="00B60E14"/>
    <w:rsid w:val="00B73E5D"/>
    <w:rsid w:val="00B74586"/>
    <w:rsid w:val="00B75A66"/>
    <w:rsid w:val="00B77A44"/>
    <w:rsid w:val="00B82FDC"/>
    <w:rsid w:val="00B844F1"/>
    <w:rsid w:val="00B92385"/>
    <w:rsid w:val="00BA16CF"/>
    <w:rsid w:val="00BB6088"/>
    <w:rsid w:val="00BB657C"/>
    <w:rsid w:val="00BB77AD"/>
    <w:rsid w:val="00BC6BA7"/>
    <w:rsid w:val="00BC79AE"/>
    <w:rsid w:val="00BD49C8"/>
    <w:rsid w:val="00BD5514"/>
    <w:rsid w:val="00BD5795"/>
    <w:rsid w:val="00BD7D2E"/>
    <w:rsid w:val="00BE5511"/>
    <w:rsid w:val="00BF0919"/>
    <w:rsid w:val="00BF5862"/>
    <w:rsid w:val="00BF687D"/>
    <w:rsid w:val="00C07FE7"/>
    <w:rsid w:val="00C11114"/>
    <w:rsid w:val="00C153E6"/>
    <w:rsid w:val="00C21E0E"/>
    <w:rsid w:val="00C223A2"/>
    <w:rsid w:val="00C34DA4"/>
    <w:rsid w:val="00C36301"/>
    <w:rsid w:val="00C365DA"/>
    <w:rsid w:val="00C37748"/>
    <w:rsid w:val="00C441CF"/>
    <w:rsid w:val="00C45594"/>
    <w:rsid w:val="00C51013"/>
    <w:rsid w:val="00C56E22"/>
    <w:rsid w:val="00C6564A"/>
    <w:rsid w:val="00C746A6"/>
    <w:rsid w:val="00C94771"/>
    <w:rsid w:val="00CA0570"/>
    <w:rsid w:val="00CA49D0"/>
    <w:rsid w:val="00CB2EDE"/>
    <w:rsid w:val="00CB3A3A"/>
    <w:rsid w:val="00CB6C0F"/>
    <w:rsid w:val="00CB788D"/>
    <w:rsid w:val="00CC65F6"/>
    <w:rsid w:val="00CD1133"/>
    <w:rsid w:val="00CE062A"/>
    <w:rsid w:val="00D0276F"/>
    <w:rsid w:val="00D10211"/>
    <w:rsid w:val="00D114EB"/>
    <w:rsid w:val="00D20C32"/>
    <w:rsid w:val="00D22D1E"/>
    <w:rsid w:val="00D2390F"/>
    <w:rsid w:val="00D318B1"/>
    <w:rsid w:val="00D4412F"/>
    <w:rsid w:val="00D531DF"/>
    <w:rsid w:val="00D53978"/>
    <w:rsid w:val="00D57A8F"/>
    <w:rsid w:val="00D64E18"/>
    <w:rsid w:val="00D65DCF"/>
    <w:rsid w:val="00D81B23"/>
    <w:rsid w:val="00D8343B"/>
    <w:rsid w:val="00D83EFF"/>
    <w:rsid w:val="00D876AE"/>
    <w:rsid w:val="00D93B99"/>
    <w:rsid w:val="00D95DD8"/>
    <w:rsid w:val="00DA0071"/>
    <w:rsid w:val="00DB14C7"/>
    <w:rsid w:val="00DB168E"/>
    <w:rsid w:val="00DB16DF"/>
    <w:rsid w:val="00DC185B"/>
    <w:rsid w:val="00DD0EFD"/>
    <w:rsid w:val="00DD61A1"/>
    <w:rsid w:val="00DD7D02"/>
    <w:rsid w:val="00E03DB1"/>
    <w:rsid w:val="00E04131"/>
    <w:rsid w:val="00E04D1D"/>
    <w:rsid w:val="00E06FDC"/>
    <w:rsid w:val="00E12AFB"/>
    <w:rsid w:val="00E2045A"/>
    <w:rsid w:val="00E215F7"/>
    <w:rsid w:val="00E268EA"/>
    <w:rsid w:val="00E30664"/>
    <w:rsid w:val="00E311C4"/>
    <w:rsid w:val="00E32646"/>
    <w:rsid w:val="00E343D3"/>
    <w:rsid w:val="00E45A72"/>
    <w:rsid w:val="00E45CB9"/>
    <w:rsid w:val="00E50554"/>
    <w:rsid w:val="00E60C27"/>
    <w:rsid w:val="00E615CC"/>
    <w:rsid w:val="00E61C0B"/>
    <w:rsid w:val="00E70515"/>
    <w:rsid w:val="00E75A2B"/>
    <w:rsid w:val="00E773B1"/>
    <w:rsid w:val="00E918F2"/>
    <w:rsid w:val="00E9283B"/>
    <w:rsid w:val="00E97611"/>
    <w:rsid w:val="00E978F8"/>
    <w:rsid w:val="00EA11ED"/>
    <w:rsid w:val="00EA1A64"/>
    <w:rsid w:val="00EB1B1C"/>
    <w:rsid w:val="00EB4E9D"/>
    <w:rsid w:val="00EB62D0"/>
    <w:rsid w:val="00EB6BA9"/>
    <w:rsid w:val="00ED185A"/>
    <w:rsid w:val="00ED5E27"/>
    <w:rsid w:val="00ED7DD0"/>
    <w:rsid w:val="00EE0F58"/>
    <w:rsid w:val="00EE3F65"/>
    <w:rsid w:val="00EE6542"/>
    <w:rsid w:val="00EE6545"/>
    <w:rsid w:val="00EE7041"/>
    <w:rsid w:val="00EF27C9"/>
    <w:rsid w:val="00EF31EE"/>
    <w:rsid w:val="00EF4EC1"/>
    <w:rsid w:val="00F00714"/>
    <w:rsid w:val="00F00B40"/>
    <w:rsid w:val="00F01199"/>
    <w:rsid w:val="00F04F23"/>
    <w:rsid w:val="00F13897"/>
    <w:rsid w:val="00F22CBD"/>
    <w:rsid w:val="00F350C7"/>
    <w:rsid w:val="00F36D05"/>
    <w:rsid w:val="00F37A5A"/>
    <w:rsid w:val="00F53609"/>
    <w:rsid w:val="00F62327"/>
    <w:rsid w:val="00F65AEB"/>
    <w:rsid w:val="00F6714D"/>
    <w:rsid w:val="00F70621"/>
    <w:rsid w:val="00F7398C"/>
    <w:rsid w:val="00F73E7D"/>
    <w:rsid w:val="00F76308"/>
    <w:rsid w:val="00F7641F"/>
    <w:rsid w:val="00F775F7"/>
    <w:rsid w:val="00F824EF"/>
    <w:rsid w:val="00F82BCB"/>
    <w:rsid w:val="00F832B2"/>
    <w:rsid w:val="00F879E7"/>
    <w:rsid w:val="00F9347B"/>
    <w:rsid w:val="00F9594E"/>
    <w:rsid w:val="00F95C7F"/>
    <w:rsid w:val="00F95E96"/>
    <w:rsid w:val="00F970CF"/>
    <w:rsid w:val="00FB2E15"/>
    <w:rsid w:val="00FB5E45"/>
    <w:rsid w:val="00FB7D51"/>
    <w:rsid w:val="00FC11B0"/>
    <w:rsid w:val="00FC2BA6"/>
    <w:rsid w:val="00FC339D"/>
    <w:rsid w:val="00FC6CED"/>
    <w:rsid w:val="00FC7158"/>
    <w:rsid w:val="00FD0D02"/>
    <w:rsid w:val="00FD654E"/>
    <w:rsid w:val="00FE2B27"/>
    <w:rsid w:val="00FE3F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BFC1A"/>
  <w15:docId w15:val="{0BFE07F7-9F20-44E1-BEF1-BCA82F20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nhideWhenUsed/>
    <w:qFormat/>
    <w:rsid w:val="00051681"/>
    <w:pPr>
      <w:keepNext/>
      <w:spacing w:before="240"/>
      <w:ind w:left="284"/>
      <w:jc w:val="center"/>
      <w:outlineLvl w:val="5"/>
    </w:pPr>
    <w:rPr>
      <w:rFonts w:ascii="Arial" w:eastAsiaTheme="majorEastAsia" w:hAnsi="Arial" w:cs="Arial"/>
      <w:b/>
      <w:i/>
      <w:iCs/>
      <w:sz w:val="20"/>
      <w:szCs w:val="20"/>
      <w:lang w:val="en-GB"/>
    </w:rPr>
  </w:style>
  <w:style w:type="paragraph" w:styleId="Heading7">
    <w:name w:val="heading 7"/>
    <w:basedOn w:val="Normal"/>
    <w:next w:val="Normal"/>
    <w:link w:val="Heading7Char"/>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qFormat/>
    <w:rsid w:val="00A02AE3"/>
    <w:rPr>
      <w:b/>
      <w:bCs/>
    </w:rPr>
  </w:style>
  <w:style w:type="paragraph" w:styleId="ListParagraph">
    <w:name w:val="List Paragraph"/>
    <w:basedOn w:val="Normal"/>
    <w:link w:val="ListParagraphChar"/>
    <w:uiPriority w:val="34"/>
    <w:qFormat/>
    <w:rsid w:val="00A02AE3"/>
    <w:pPr>
      <w:ind w:left="720"/>
    </w:pPr>
  </w:style>
  <w:style w:type="paragraph" w:styleId="Header">
    <w:name w:val="header"/>
    <w:basedOn w:val="Normal"/>
    <w:link w:val="HeaderChar"/>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565038"/>
    <w:pPr>
      <w:tabs>
        <w:tab w:val="left" w:pos="1210"/>
      </w:tabs>
      <w:spacing w:line="300" w:lineRule="exact"/>
      <w:ind w:left="720"/>
    </w:pPr>
    <w:rPr>
      <w:rFonts w:eastAsia="Calibri"/>
      <w:color w:val="000000"/>
      <w:spacing w:val="-3"/>
      <w:szCs w:val="25"/>
      <w:lang w:val="en-GB"/>
    </w:rPr>
  </w:style>
  <w:style w:type="character" w:customStyle="1" w:styleId="Normaltext1Char">
    <w:name w:val="Normal text [1] Char"/>
    <w:link w:val="Normaltext1"/>
    <w:rsid w:val="00565038"/>
    <w:rPr>
      <w:rFonts w:eastAsia="Calibri"/>
      <w:color w:val="000000"/>
      <w:spacing w:val="-3"/>
      <w:sz w:val="24"/>
      <w:szCs w:val="25"/>
      <w:lang w:val="en-GB"/>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3C054A"/>
    <w:pPr>
      <w:keepNext/>
      <w:keepLines/>
      <w:spacing w:line="320" w:lineRule="exact"/>
      <w:jc w:val="center"/>
      <w:outlineLvl w:val="1"/>
    </w:pPr>
    <w:rPr>
      <w:rFonts w:ascii="Arial" w:eastAsia="MS Gothic" w:hAnsi="Arial" w:cs="Arial"/>
      <w:bCs/>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3C054A"/>
    <w:rPr>
      <w:rFonts w:ascii="Arial" w:eastAsia="MS Gothic" w:hAnsi="Arial" w:cs="Arial"/>
      <w:bCs/>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basedOn w:val="DefaultParagraphFont"/>
    <w:link w:val="ListParagraph"/>
    <w:uiPriority w:val="34"/>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t1">
    <w:name w:val="t1"/>
    <w:basedOn w:val="Normal"/>
    <w:uiPriority w:val="99"/>
    <w:rsid w:val="00415ED9"/>
    <w:pPr>
      <w:widowControl w:val="0"/>
      <w:autoSpaceDE w:val="0"/>
      <w:autoSpaceDN w:val="0"/>
      <w:adjustRightInd w:val="0"/>
      <w:spacing w:before="0" w:after="0"/>
    </w:pPr>
    <w:rPr>
      <w:lang w:eastAsia="en-GB"/>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lang w:val="en-GB"/>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paragraph" w:customStyle="1" w:styleId="parafullout">
    <w:name w:val="parafullout"/>
    <w:basedOn w:val="Normal"/>
    <w:rsid w:val="00530490"/>
    <w:pPr>
      <w:spacing w:before="100" w:beforeAutospacing="1" w:after="100" w:afterAutospacing="1"/>
    </w:pPr>
    <w:rPr>
      <w:color w:val="FFFFFF"/>
    </w:rPr>
  </w:style>
  <w:style w:type="character" w:styleId="Emphasis">
    <w:name w:val="Emphasis"/>
    <w:basedOn w:val="DefaultParagraphFont"/>
    <w:qFormat/>
    <w:rsid w:val="00530490"/>
    <w:rPr>
      <w:i/>
      <w:iCs/>
    </w:rPr>
  </w:style>
  <w:style w:type="paragraph" w:customStyle="1" w:styleId="Normaltext3">
    <w:name w:val="Normal text [3]"/>
    <w:basedOn w:val="Normal"/>
    <w:link w:val="Normaltext3Char"/>
    <w:qFormat/>
    <w:rsid w:val="00530490"/>
    <w:pPr>
      <w:ind w:left="1531"/>
      <w:jc w:val="both"/>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530490"/>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051681"/>
    <w:rPr>
      <w:rFonts w:ascii="Arial" w:eastAsiaTheme="majorEastAsia" w:hAnsi="Arial" w:cs="Arial"/>
      <w:b/>
      <w:i/>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qFormat/>
    <w:rsid w:val="00860814"/>
    <w:pPr>
      <w:spacing w:after="100"/>
    </w:pPr>
  </w:style>
  <w:style w:type="paragraph" w:styleId="TOC2">
    <w:name w:val="toc 2"/>
    <w:basedOn w:val="Normal"/>
    <w:next w:val="Normal"/>
    <w:autoRedefine/>
    <w:uiPriority w:val="39"/>
    <w:unhideWhenUsed/>
    <w:qFormat/>
    <w:rsid w:val="00860814"/>
    <w:pPr>
      <w:spacing w:after="100"/>
      <w:ind w:left="240"/>
    </w:p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BodyText1">
    <w:name w:val="Body Text1"/>
    <w:basedOn w:val="Normal"/>
    <w:uiPriority w:val="99"/>
    <w:rsid w:val="00113B9A"/>
    <w:pPr>
      <w:widowControl w:val="0"/>
      <w:suppressAutoHyphens/>
      <w:autoSpaceDE w:val="0"/>
      <w:autoSpaceDN w:val="0"/>
      <w:adjustRightInd w:val="0"/>
      <w:spacing w:before="0" w:after="0"/>
      <w:ind w:firstLine="475"/>
      <w:jc w:val="both"/>
      <w:textAlignment w:val="center"/>
    </w:pPr>
    <w:rPr>
      <w:rFonts w:ascii="Arial" w:eastAsia="Cambria" w:hAnsi="Arial" w:cs="Times-Roman"/>
      <w:color w:val="000000"/>
      <w:sz w:val="20"/>
      <w:szCs w:val="20"/>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NoSpacing">
    <w:name w:val="No Spacing"/>
    <w:basedOn w:val="Normal"/>
    <w:uiPriority w:val="1"/>
    <w:qFormat/>
    <w:rsid w:val="00FB7D51"/>
    <w:pPr>
      <w:spacing w:before="0" w:after="0"/>
      <w:ind w:left="1210"/>
    </w:pPr>
    <w:rPr>
      <w:rFonts w:eastAsia="Calibri"/>
      <w:szCs w:val="32"/>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SubtleReference">
    <w:name w:val="Subtle Reference"/>
    <w:uiPriority w:val="31"/>
    <w:qFormat/>
    <w:rsid w:val="00F6714D"/>
    <w:rPr>
      <w:sz w:val="24"/>
      <w:szCs w:val="24"/>
      <w:u w:val="single"/>
    </w:rPr>
  </w:style>
  <w:style w:type="character" w:styleId="IntenseReference">
    <w:name w:val="Intense Reference"/>
    <w:uiPriority w:val="32"/>
    <w:qFormat/>
    <w:rsid w:val="00F6714D"/>
    <w:rPr>
      <w:b/>
      <w:sz w:val="24"/>
      <w:u w:val="single"/>
    </w:rPr>
  </w:style>
  <w:style w:type="character" w:styleId="BookTitle">
    <w:name w:val="Book Title"/>
    <w:uiPriority w:val="33"/>
    <w:qFormat/>
    <w:rsid w:val="00F6714D"/>
    <w:rPr>
      <w:rFonts w:ascii="Cambria" w:eastAsia="Times New Roman" w:hAnsi="Cambria"/>
      <w:b/>
      <w:i/>
      <w:sz w:val="24"/>
      <w:szCs w:val="24"/>
    </w:rPr>
  </w:style>
  <w:style w:type="paragraph" w:styleId="TOCHeading">
    <w:name w:val="TOC Heading"/>
    <w:basedOn w:val="Heading1"/>
    <w:next w:val="Normal"/>
    <w:uiPriority w:val="39"/>
    <w:unhideWhenUsed/>
    <w:qFormat/>
    <w:rsid w:val="00F6714D"/>
    <w:pPr>
      <w:jc w:val="left"/>
      <w:outlineLvl w:val="9"/>
    </w:pPr>
    <w:rPr>
      <w:rFonts w:ascii="Cambria" w:hAnsi="Cambria" w:cs="Times New Roman"/>
      <w:lang w:val="en-NZ"/>
    </w:rPr>
  </w:style>
  <w:style w:type="table" w:styleId="TableGrid">
    <w:name w:val="Table Grid"/>
    <w:basedOn w:val="TableNormal"/>
    <w:uiPriority w:val="5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F6714D"/>
    <w:pPr>
      <w:tabs>
        <w:tab w:val="left" w:pos="426"/>
      </w:tabs>
      <w:spacing w:before="200" w:after="0"/>
      <w:jc w:val="both"/>
    </w:pPr>
    <w:rPr>
      <w:rFonts w:ascii="Palatino" w:hAnsi="Palatino"/>
      <w:sz w:val="20"/>
      <w:szCs w:val="20"/>
      <w:lang w:val="en-GB"/>
    </w:rPr>
  </w:style>
  <w:style w:type="character" w:styleId="CommentReference">
    <w:name w:val="annotation reference"/>
    <w:rsid w:val="00F6714D"/>
    <w:rPr>
      <w:sz w:val="16"/>
      <w:szCs w:val="16"/>
    </w:rPr>
  </w:style>
  <w:style w:type="paragraph" w:styleId="CommentText">
    <w:name w:val="annotation text"/>
    <w:basedOn w:val="Normal"/>
    <w:link w:val="CommentTextChar"/>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character" w:customStyle="1" w:styleId="st">
    <w:name w:val="st"/>
    <w:rsid w:val="00F6714D"/>
  </w:style>
  <w:style w:type="paragraph" w:styleId="EndnoteText">
    <w:name w:val="endnote text"/>
    <w:basedOn w:val="Normal"/>
    <w:link w:val="EndnoteTextChar"/>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D8343B"/>
    <w:pPr>
      <w:numPr>
        <w:numId w:val="4"/>
      </w:numPr>
    </w:pPr>
  </w:style>
  <w:style w:type="character" w:customStyle="1" w:styleId="paragraphChar">
    <w:name w:val="paragraph Char"/>
    <w:aliases w:val="a Char"/>
    <w:basedOn w:val="Normaltext2Char"/>
    <w:link w:val="paragraph"/>
    <w:rsid w:val="00D8343B"/>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customStyle="1" w:styleId="Style1">
    <w:name w:val="Style1"/>
    <w:basedOn w:val="Normal"/>
    <w:qFormat/>
    <w:rsid w:val="00143B86"/>
    <w:pPr>
      <w:widowControl w:val="0"/>
      <w:suppressAutoHyphens/>
      <w:spacing w:before="240" w:line="320" w:lineRule="exact"/>
      <w:jc w:val="both"/>
    </w:pPr>
    <w:rPr>
      <w:rFonts w:eastAsia="SimSun" w:cs="Mangal"/>
      <w:b/>
      <w:i/>
      <w:color w:val="2F5496"/>
      <w:kern w:val="1"/>
      <w:lang w:val="en-AU" w:eastAsia="zh-CN" w:bidi="hi-IN"/>
    </w:rPr>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ody">
    <w:name w:val="Body"/>
    <w:aliases w:val="b"/>
    <w:rsid w:val="00934252"/>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lang w:val="en-GB"/>
    </w:rPr>
  </w:style>
  <w:style w:type="paragraph" w:customStyle="1" w:styleId="Quote1">
    <w:name w:val="Quote1"/>
    <w:basedOn w:val="Normal"/>
    <w:link w:val="Quote1Char"/>
    <w:uiPriority w:val="99"/>
    <w:rsid w:val="00767ED5"/>
    <w:pPr>
      <w:widowControl w:val="0"/>
      <w:spacing w:after="0"/>
      <w:ind w:left="1440" w:right="720"/>
      <w:jc w:val="both"/>
    </w:pPr>
    <w:rPr>
      <w:rFonts w:ascii="Book Antiqua" w:hAnsi="Book Antiqua"/>
      <w:sz w:val="22"/>
      <w:szCs w:val="20"/>
      <w:lang w:val="en-AU"/>
    </w:rPr>
  </w:style>
  <w:style w:type="character" w:customStyle="1" w:styleId="Quote1Char">
    <w:name w:val="Quote1 Char"/>
    <w:basedOn w:val="DefaultParagraphFont"/>
    <w:link w:val="Quote1"/>
    <w:uiPriority w:val="99"/>
    <w:locked/>
    <w:rsid w:val="00767ED5"/>
    <w:rPr>
      <w:rFonts w:ascii="Book Antiqua" w:hAnsi="Book Antiqua"/>
      <w:sz w:val="22"/>
      <w:lang w:val="en-AU"/>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68176C"/>
    <w:pPr>
      <w:suppressAutoHyphens/>
      <w:jc w:val="center"/>
    </w:pPr>
    <w:rPr>
      <w:rFonts w:eastAsia="SimSun" w:cs="Lucida Sans"/>
      <w:kern w:val="1"/>
      <w:sz w:val="28"/>
      <w:szCs w:val="28"/>
      <w:lang w:val="en-CA" w:eastAsia="hi-IN" w:bidi="hi-IN"/>
    </w:rPr>
  </w:style>
  <w:style w:type="character" w:customStyle="1" w:styleId="Normal-centredChar">
    <w:name w:val="Normal-centred Char"/>
    <w:basedOn w:val="DefaultParagraphFont"/>
    <w:link w:val="Normal-centred"/>
    <w:rsid w:val="0068176C"/>
    <w:rPr>
      <w:rFonts w:eastAsia="SimSun" w:cs="Lucida Sans"/>
      <w:kern w:val="1"/>
      <w:sz w:val="28"/>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DraftHeading2">
    <w:name w:val="Draft Heading 2"/>
    <w:basedOn w:val="Normal"/>
    <w:next w:val="Normal"/>
    <w:rsid w:val="00E75A2B"/>
    <w:pPr>
      <w:overflowPunct w:val="0"/>
      <w:autoSpaceDE w:val="0"/>
      <w:autoSpaceDN w:val="0"/>
      <w:adjustRightInd w:val="0"/>
      <w:textAlignment w:val="baseline"/>
    </w:pPr>
    <w:rPr>
      <w:szCs w:val="20"/>
      <w:lang w:val="en-GB" w:eastAsia="en-GB"/>
    </w:rPr>
  </w:style>
  <w:style w:type="paragraph" w:customStyle="1" w:styleId="BodySectionSub">
    <w:name w:val="Body Section (Sub)"/>
    <w:next w:val="Normal"/>
    <w:link w:val="BodySectionSubChar"/>
    <w:rsid w:val="00E75A2B"/>
    <w:pPr>
      <w:overflowPunct w:val="0"/>
      <w:autoSpaceDE w:val="0"/>
      <w:autoSpaceDN w:val="0"/>
      <w:adjustRightInd w:val="0"/>
      <w:spacing w:before="120"/>
      <w:ind w:left="1361"/>
      <w:textAlignment w:val="baseline"/>
    </w:pPr>
    <w:rPr>
      <w:sz w:val="24"/>
      <w:lang w:val="en-GB" w:eastAsia="en-GB"/>
    </w:rPr>
  </w:style>
  <w:style w:type="paragraph" w:customStyle="1" w:styleId="DraftHeading3">
    <w:name w:val="Draft Heading 3"/>
    <w:basedOn w:val="Normal"/>
    <w:next w:val="Normal"/>
    <w:rsid w:val="00E75A2B"/>
    <w:pPr>
      <w:overflowPunct w:val="0"/>
      <w:autoSpaceDE w:val="0"/>
      <w:autoSpaceDN w:val="0"/>
      <w:adjustRightInd w:val="0"/>
      <w:textAlignment w:val="baseline"/>
    </w:pPr>
    <w:rPr>
      <w:szCs w:val="20"/>
      <w:lang w:val="en-GB" w:eastAsia="en-GB"/>
    </w:rPr>
  </w:style>
  <w:style w:type="character" w:customStyle="1" w:styleId="BodySectionSubChar">
    <w:name w:val="Body Section (Sub) Char"/>
    <w:basedOn w:val="DefaultParagraphFont"/>
    <w:link w:val="BodySectionSub"/>
    <w:rsid w:val="00E75A2B"/>
    <w:rPr>
      <w:sz w:val="24"/>
      <w:lang w:val="en-GB" w:eastAsia="en-GB"/>
    </w:rPr>
  </w:style>
  <w:style w:type="paragraph" w:customStyle="1" w:styleId="Heading31">
    <w:name w:val="Heading 31"/>
    <w:basedOn w:val="Normal"/>
    <w:link w:val="heading3Char0"/>
    <w:qFormat/>
    <w:rsid w:val="00E75A2B"/>
    <w:pPr>
      <w:keepNext/>
      <w:spacing w:before="0" w:after="200" w:line="276" w:lineRule="auto"/>
    </w:pPr>
    <w:rPr>
      <w:rFonts w:asciiTheme="minorHAnsi" w:eastAsiaTheme="minorEastAsia" w:hAnsiTheme="minorHAnsi" w:cstheme="minorBidi"/>
      <w:b/>
      <w:sz w:val="22"/>
      <w:szCs w:val="22"/>
      <w:lang w:val="en-GB" w:eastAsia="en-GB"/>
    </w:rPr>
  </w:style>
  <w:style w:type="character" w:customStyle="1" w:styleId="heading3Char0">
    <w:name w:val="heading 3 Char"/>
    <w:basedOn w:val="DefaultParagraphFont"/>
    <w:link w:val="Heading31"/>
    <w:rsid w:val="00E75A2B"/>
    <w:rPr>
      <w:rFonts w:asciiTheme="minorHAnsi" w:eastAsiaTheme="minorEastAsia" w:hAnsiTheme="minorHAnsi" w:cstheme="minorBidi"/>
      <w:b/>
      <w:sz w:val="22"/>
      <w:szCs w:val="22"/>
      <w:lang w:val="en-GB" w:eastAsia="en-GB"/>
    </w:rPr>
  </w:style>
  <w:style w:type="character" w:customStyle="1" w:styleId="aqj">
    <w:name w:val="aqj"/>
    <w:basedOn w:val="DefaultParagraphFont"/>
    <w:rsid w:val="0086694E"/>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color w:val="000000"/>
      <w:sz w:val="24"/>
      <w:szCs w:val="24"/>
      <w:lang w:val="en-US" w:eastAsia="en-AU"/>
    </w:rPr>
  </w:style>
  <w:style w:type="paragraph" w:styleId="BodyTextIndent">
    <w:name w:val="Body Text Indent"/>
    <w:basedOn w:val="Normal"/>
    <w:link w:val="BodyTextIndentChar"/>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iPriority w:val="99"/>
    <w:unhideWhenUsed/>
    <w:rsid w:val="008B57FD"/>
    <w:pPr>
      <w:spacing w:before="0" w:after="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8B57FD"/>
    <w:rPr>
      <w:rFonts w:asciiTheme="minorHAnsi" w:eastAsiaTheme="minorHAnsi" w:hAnsiTheme="minorHAnsi" w:cstheme="minorBidi"/>
      <w:lang w:val="en-US"/>
    </w:rPr>
  </w:style>
  <w:style w:type="paragraph" w:customStyle="1" w:styleId="Sectionheading">
    <w:name w:val="Section heading"/>
    <w:basedOn w:val="Normal"/>
    <w:link w:val="SectionheadingChar"/>
    <w:qFormat/>
    <w:rsid w:val="000E0F42"/>
    <w:pPr>
      <w:keepNext/>
      <w:ind w:left="1440" w:right="1440"/>
    </w:pPr>
    <w:rPr>
      <w:rFonts w:ascii="Cambria" w:hAnsi="Cambria"/>
      <w:b/>
    </w:rPr>
  </w:style>
  <w:style w:type="character" w:customStyle="1" w:styleId="SectionheadingChar">
    <w:name w:val="Section heading Char"/>
    <w:basedOn w:val="DefaultParagraphFont"/>
    <w:link w:val="Sectionheading"/>
    <w:rsid w:val="000E0F42"/>
    <w:rPr>
      <w:rFonts w:ascii="Cambria" w:hAnsi="Cambria"/>
      <w:b/>
      <w:sz w:val="24"/>
      <w:szCs w:val="24"/>
      <w:lang w:val="en-US"/>
    </w:rPr>
  </w:style>
  <w:style w:type="character" w:customStyle="1" w:styleId="c24">
    <w:name w:val="c24"/>
    <w:basedOn w:val="DefaultParagraphFont"/>
    <w:rsid w:val="008110DF"/>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10"/>
      </w:numPr>
    </w:pPr>
  </w:style>
  <w:style w:type="character" w:customStyle="1" w:styleId="Hyperlink1">
    <w:name w:val="Hyperlink.1"/>
    <w:basedOn w:val="DefaultParagraphFont"/>
    <w:rsid w:val="003E2C8D"/>
    <w:rPr>
      <w:rFonts w:ascii="Arial" w:eastAsia="Arial" w:hAnsi="Arial" w:cs="Arial"/>
      <w:i/>
      <w:iCs/>
      <w:color w:val="0000FF"/>
      <w:u w:val="single" w:color="0000FF"/>
    </w:r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paragraph" w:customStyle="1" w:styleId="BodyNum">
    <w:name w:val="BodyNum"/>
    <w:aliases w:val="b1"/>
    <w:basedOn w:val="Normal"/>
    <w:rsid w:val="00245D7D"/>
    <w:pPr>
      <w:numPr>
        <w:numId w:val="11"/>
      </w:numPr>
      <w:spacing w:before="240" w:after="0"/>
    </w:pPr>
    <w:rPr>
      <w:szCs w:val="20"/>
      <w:lang w:val="en-AU" w:eastAsia="en-AU"/>
    </w:rPr>
  </w:style>
  <w:style w:type="paragraph" w:customStyle="1" w:styleId="BodyPara">
    <w:name w:val="BodyPara"/>
    <w:aliases w:val="ba"/>
    <w:basedOn w:val="Normal"/>
    <w:rsid w:val="00245D7D"/>
    <w:pPr>
      <w:numPr>
        <w:ilvl w:val="1"/>
        <w:numId w:val="11"/>
      </w:numPr>
      <w:spacing w:before="240" w:after="0"/>
    </w:pPr>
    <w:rPr>
      <w:szCs w:val="20"/>
      <w:lang w:val="en-AU" w:eastAsia="en-AU"/>
    </w:rPr>
  </w:style>
  <w:style w:type="paragraph" w:customStyle="1" w:styleId="BodyParaBullet">
    <w:name w:val="BodyParaBullet"/>
    <w:aliases w:val="bpb"/>
    <w:basedOn w:val="Normal"/>
    <w:rsid w:val="00245D7D"/>
    <w:pPr>
      <w:numPr>
        <w:ilvl w:val="2"/>
        <w:numId w:val="11"/>
      </w:numPr>
      <w:tabs>
        <w:tab w:val="left" w:pos="2160"/>
      </w:tabs>
      <w:spacing w:before="240" w:after="0"/>
    </w:pPr>
    <w:rPr>
      <w:szCs w:val="20"/>
      <w:lang w:val="en-AU" w:eastAsia="en-AU"/>
    </w:rPr>
  </w:style>
  <w:style w:type="paragraph" w:customStyle="1" w:styleId="BodySubPara">
    <w:name w:val="BodySubPara"/>
    <w:aliases w:val="bi"/>
    <w:basedOn w:val="Normal"/>
    <w:rsid w:val="00245D7D"/>
    <w:pPr>
      <w:numPr>
        <w:ilvl w:val="3"/>
        <w:numId w:val="11"/>
      </w:numPr>
      <w:spacing w:before="240" w:after="0"/>
    </w:pPr>
    <w:rPr>
      <w:szCs w:val="20"/>
      <w:lang w:val="en-AU" w:eastAsia="en-AU"/>
    </w:rPr>
  </w:style>
  <w:style w:type="numbering" w:customStyle="1" w:styleId="OPCBodyList">
    <w:name w:val="OPCBodyList"/>
    <w:uiPriority w:val="99"/>
    <w:rsid w:val="00245D7D"/>
    <w:pPr>
      <w:numPr>
        <w:numId w:val="11"/>
      </w:numPr>
    </w:pPr>
  </w:style>
  <w:style w:type="paragraph" w:customStyle="1" w:styleId="Head2">
    <w:name w:val="Head 2"/>
    <w:aliases w:val="2"/>
    <w:basedOn w:val="Normal"/>
    <w:next w:val="BodyNum"/>
    <w:rsid w:val="00D83EFF"/>
    <w:pPr>
      <w:keepNext/>
      <w:spacing w:before="240" w:after="60"/>
      <w:outlineLvl w:val="1"/>
    </w:pPr>
    <w:rPr>
      <w:rFonts w:ascii="Arial" w:hAnsi="Arial"/>
      <w:b/>
      <w:kern w:val="28"/>
      <w:sz w:val="28"/>
      <w:szCs w:val="20"/>
      <w:lang w:val="en-AU" w:eastAsia="en-AU"/>
    </w:rPr>
  </w:style>
  <w:style w:type="paragraph" w:customStyle="1" w:styleId="ActHead1">
    <w:name w:val="ActHead 1"/>
    <w:aliases w:val="c"/>
    <w:basedOn w:val="Normal"/>
    <w:next w:val="Normal"/>
    <w:qFormat/>
    <w:rsid w:val="00032C2C"/>
    <w:pPr>
      <w:keepNext/>
      <w:keepLines/>
      <w:spacing w:before="0" w:after="0"/>
      <w:ind w:left="1134" w:hanging="1134"/>
      <w:outlineLvl w:val="0"/>
    </w:pPr>
    <w:rPr>
      <w:b/>
      <w:kern w:val="28"/>
      <w:sz w:val="36"/>
      <w:szCs w:val="20"/>
      <w:lang w:val="en-AU" w:eastAsia="en-AU"/>
    </w:rPr>
  </w:style>
  <w:style w:type="paragraph" w:customStyle="1" w:styleId="ActHead2">
    <w:name w:val="ActHead 2"/>
    <w:aliases w:val="p"/>
    <w:basedOn w:val="Normal"/>
    <w:next w:val="ActHead3"/>
    <w:link w:val="ActHead2Char"/>
    <w:qFormat/>
    <w:rsid w:val="00032C2C"/>
    <w:pPr>
      <w:keepNext/>
      <w:keepLines/>
      <w:spacing w:before="280" w:after="0"/>
      <w:ind w:left="1134" w:hanging="1134"/>
      <w:outlineLvl w:val="1"/>
    </w:pPr>
    <w:rPr>
      <w:b/>
      <w:kern w:val="28"/>
      <w:sz w:val="32"/>
      <w:szCs w:val="20"/>
      <w:lang w:val="en-AU" w:eastAsia="en-AU"/>
    </w:rPr>
  </w:style>
  <w:style w:type="paragraph" w:customStyle="1" w:styleId="ActHead3">
    <w:name w:val="ActHead 3"/>
    <w:aliases w:val="d"/>
    <w:basedOn w:val="Normal"/>
    <w:next w:val="ActHead4"/>
    <w:qFormat/>
    <w:rsid w:val="00032C2C"/>
    <w:pPr>
      <w:keepNext/>
      <w:keepLines/>
      <w:spacing w:before="240" w:after="0"/>
      <w:ind w:left="1134" w:hanging="1134"/>
      <w:outlineLvl w:val="2"/>
    </w:pPr>
    <w:rPr>
      <w:b/>
      <w:kern w:val="28"/>
      <w:sz w:val="28"/>
      <w:szCs w:val="20"/>
      <w:lang w:val="en-AU" w:eastAsia="en-AU"/>
    </w:rPr>
  </w:style>
  <w:style w:type="paragraph" w:customStyle="1" w:styleId="ActHead4">
    <w:name w:val="ActHead 4"/>
    <w:aliases w:val="sd"/>
    <w:basedOn w:val="Normal"/>
    <w:next w:val="ActHead5"/>
    <w:qFormat/>
    <w:rsid w:val="00032C2C"/>
    <w:pPr>
      <w:keepNext/>
      <w:keepLines/>
      <w:spacing w:before="220" w:after="0"/>
      <w:ind w:left="1134" w:hanging="1134"/>
      <w:outlineLvl w:val="3"/>
    </w:pPr>
    <w:rPr>
      <w:b/>
      <w:kern w:val="28"/>
      <w:sz w:val="26"/>
      <w:szCs w:val="20"/>
      <w:lang w:val="en-AU" w:eastAsia="en-AU"/>
    </w:rPr>
  </w:style>
  <w:style w:type="paragraph" w:customStyle="1" w:styleId="ActHead5">
    <w:name w:val="ActHead 5"/>
    <w:aliases w:val="s"/>
    <w:basedOn w:val="Normal"/>
    <w:next w:val="subsection"/>
    <w:link w:val="ActHead5Char"/>
    <w:qFormat/>
    <w:rsid w:val="00032C2C"/>
    <w:pPr>
      <w:keepNext/>
      <w:keepLines/>
      <w:spacing w:before="280" w:after="0"/>
      <w:ind w:left="1134" w:hanging="1134"/>
      <w:outlineLvl w:val="4"/>
    </w:pPr>
    <w:rPr>
      <w:b/>
      <w:kern w:val="28"/>
      <w:szCs w:val="20"/>
      <w:lang w:val="en-AU" w:eastAsia="en-AU"/>
    </w:r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character" w:customStyle="1" w:styleId="CharDivNo">
    <w:name w:val="CharDivNo"/>
    <w:basedOn w:val="DefaultParagraphFont"/>
    <w:qFormat/>
    <w:rsid w:val="00032C2C"/>
  </w:style>
  <w:style w:type="character" w:customStyle="1" w:styleId="CharDivText">
    <w:name w:val="CharDivText"/>
    <w:basedOn w:val="DefaultParagraphFont"/>
    <w:qFormat/>
    <w:rsid w:val="00032C2C"/>
  </w:style>
  <w:style w:type="character" w:customStyle="1" w:styleId="CharPartNo">
    <w:name w:val="CharPartNo"/>
    <w:basedOn w:val="DefaultParagraphFont"/>
    <w:qFormat/>
    <w:rsid w:val="00032C2C"/>
  </w:style>
  <w:style w:type="character" w:customStyle="1" w:styleId="CharPartText">
    <w:name w:val="CharPartText"/>
    <w:basedOn w:val="DefaultParagraphFont"/>
    <w:qFormat/>
    <w:rsid w:val="00032C2C"/>
  </w:style>
  <w:style w:type="character" w:customStyle="1" w:styleId="CharSectno">
    <w:name w:val="CharSectno"/>
    <w:basedOn w:val="DefaultParagraphFont"/>
    <w:qFormat/>
    <w:rsid w:val="00032C2C"/>
  </w:style>
  <w:style w:type="character" w:customStyle="1" w:styleId="CharSubdNo">
    <w:name w:val="CharSubdNo"/>
    <w:basedOn w:val="DefaultParagraphFont"/>
    <w:qFormat/>
    <w:rsid w:val="00032C2C"/>
  </w:style>
  <w:style w:type="character" w:customStyle="1" w:styleId="CharSubdText">
    <w:name w:val="CharSubdText"/>
    <w:basedOn w:val="DefaultParagraphFont"/>
    <w:qFormat/>
    <w:rsid w:val="00032C2C"/>
  </w:style>
  <w:style w:type="paragraph" w:customStyle="1" w:styleId="subsection">
    <w:name w:val="subsection"/>
    <w:aliases w:val="ss"/>
    <w:basedOn w:val="Normal"/>
    <w:link w:val="subsectionChar"/>
    <w:rsid w:val="00032C2C"/>
    <w:pPr>
      <w:tabs>
        <w:tab w:val="right" w:pos="1021"/>
      </w:tabs>
      <w:spacing w:before="180" w:after="0"/>
      <w:ind w:left="1134" w:hanging="1134"/>
    </w:pPr>
    <w:rPr>
      <w:sz w:val="22"/>
      <w:szCs w:val="20"/>
      <w:lang w:val="en-AU" w:eastAsia="en-AU"/>
    </w:rPr>
  </w:style>
  <w:style w:type="paragraph" w:customStyle="1" w:styleId="Definition">
    <w:name w:val="Definition"/>
    <w:aliases w:val="dd"/>
    <w:basedOn w:val="Normal"/>
    <w:rsid w:val="00032C2C"/>
    <w:pPr>
      <w:spacing w:before="180" w:after="0"/>
      <w:ind w:left="1134"/>
    </w:pPr>
    <w:rPr>
      <w:sz w:val="22"/>
      <w:szCs w:val="20"/>
      <w:lang w:val="en-AU" w:eastAsia="en-AU"/>
    </w:rPr>
  </w:style>
  <w:style w:type="paragraph" w:customStyle="1" w:styleId="paragraphsub">
    <w:name w:val="paragraph(sub)"/>
    <w:aliases w:val="aa"/>
    <w:basedOn w:val="Normal"/>
    <w:rsid w:val="00032C2C"/>
    <w:pPr>
      <w:tabs>
        <w:tab w:val="right" w:pos="1985"/>
      </w:tabs>
      <w:spacing w:before="40" w:after="0"/>
      <w:ind w:left="2098" w:hanging="2098"/>
    </w:pPr>
    <w:rPr>
      <w:sz w:val="22"/>
      <w:szCs w:val="20"/>
      <w:lang w:val="en-AU" w:eastAsia="en-AU"/>
    </w:rPr>
  </w:style>
  <w:style w:type="paragraph" w:customStyle="1" w:styleId="subsection2">
    <w:name w:val="subsection2"/>
    <w:aliases w:val="ss2"/>
    <w:basedOn w:val="Normal"/>
    <w:next w:val="subsection"/>
    <w:rsid w:val="00032C2C"/>
    <w:pPr>
      <w:spacing w:before="40" w:after="0"/>
      <w:ind w:left="1134"/>
    </w:pPr>
    <w:rPr>
      <w:sz w:val="22"/>
      <w:szCs w:val="20"/>
      <w:lang w:val="en-AU" w:eastAsia="en-AU"/>
    </w:rPr>
  </w:style>
  <w:style w:type="paragraph" w:customStyle="1" w:styleId="SubsectionHead">
    <w:name w:val="SubsectionHead"/>
    <w:aliases w:val="ssh"/>
    <w:basedOn w:val="Normal"/>
    <w:next w:val="subsection"/>
    <w:rsid w:val="00032C2C"/>
    <w:pPr>
      <w:keepNext/>
      <w:keepLines/>
      <w:spacing w:before="240" w:after="0"/>
      <w:ind w:left="1134"/>
    </w:pPr>
    <w:rPr>
      <w:i/>
      <w:sz w:val="22"/>
      <w:szCs w:val="20"/>
      <w:lang w:val="en-AU" w:eastAsia="en-AU"/>
    </w:rPr>
  </w:style>
  <w:style w:type="paragraph" w:customStyle="1" w:styleId="Tabletext">
    <w:name w:val="Tabletext"/>
    <w:aliases w:val="tt"/>
    <w:basedOn w:val="Normal"/>
    <w:rsid w:val="00032C2C"/>
    <w:pPr>
      <w:spacing w:before="60" w:after="0" w:line="240" w:lineRule="atLeast"/>
    </w:pPr>
    <w:rPr>
      <w:sz w:val="20"/>
      <w:szCs w:val="20"/>
      <w:lang w:val="en-AU" w:eastAsia="en-AU"/>
    </w:rPr>
  </w:style>
  <w:style w:type="paragraph" w:customStyle="1" w:styleId="Head3">
    <w:name w:val="Head 3"/>
    <w:aliases w:val="3"/>
    <w:basedOn w:val="Normal"/>
    <w:next w:val="BodyNum"/>
    <w:rsid w:val="00032C2C"/>
    <w:pPr>
      <w:keepNext/>
      <w:spacing w:before="240" w:after="60"/>
      <w:outlineLvl w:val="2"/>
    </w:pPr>
    <w:rPr>
      <w:rFonts w:ascii="Arial" w:hAnsi="Arial"/>
      <w:b/>
      <w:i/>
      <w:kern w:val="28"/>
      <w:sz w:val="26"/>
      <w:szCs w:val="20"/>
      <w:lang w:val="en-AU" w:eastAsia="en-AU"/>
    </w:rPr>
  </w:style>
  <w:style w:type="paragraph" w:customStyle="1" w:styleId="notetext">
    <w:name w:val="note(text)"/>
    <w:aliases w:val="n"/>
    <w:basedOn w:val="Normal"/>
    <w:link w:val="notetextChar"/>
    <w:rsid w:val="00032C2C"/>
    <w:pPr>
      <w:spacing w:before="122" w:after="0"/>
      <w:ind w:left="1985" w:hanging="851"/>
    </w:pPr>
    <w:rPr>
      <w:sz w:val="18"/>
      <w:szCs w:val="20"/>
      <w:lang w:val="en-AU" w:eastAsia="en-AU"/>
    </w:rPr>
  </w:style>
  <w:style w:type="paragraph" w:customStyle="1" w:styleId="SOHeadItalic">
    <w:name w:val="SO HeadItalic"/>
    <w:aliases w:val="sohi"/>
    <w:basedOn w:val="Normal"/>
    <w:next w:val="Normal"/>
    <w:link w:val="SOHeadItalicChar"/>
    <w:qFormat/>
    <w:rsid w:val="00032C2C"/>
    <w:pPr>
      <w:pBdr>
        <w:top w:val="single" w:sz="6" w:space="5" w:color="auto"/>
        <w:left w:val="single" w:sz="6" w:space="5" w:color="auto"/>
        <w:bottom w:val="single" w:sz="6" w:space="5" w:color="auto"/>
        <w:right w:val="single" w:sz="6" w:space="5" w:color="auto"/>
      </w:pBdr>
      <w:spacing w:before="240" w:after="0"/>
      <w:ind w:left="1134"/>
    </w:pPr>
    <w:rPr>
      <w:rFonts w:eastAsia="Calibri"/>
      <w:i/>
      <w:sz w:val="22"/>
      <w:szCs w:val="20"/>
      <w:lang w:val="en-AU"/>
    </w:rPr>
  </w:style>
  <w:style w:type="character" w:customStyle="1" w:styleId="SOHeadItalicChar">
    <w:name w:val="SO HeadItalic Char"/>
    <w:aliases w:val="sohi Char"/>
    <w:link w:val="SOHeadItalic"/>
    <w:rsid w:val="00032C2C"/>
    <w:rPr>
      <w:rFonts w:eastAsia="Calibri"/>
      <w:i/>
      <w:sz w:val="22"/>
      <w:lang w:val="en-AU"/>
    </w:rPr>
  </w:style>
  <w:style w:type="paragraph" w:customStyle="1" w:styleId="TableHeading">
    <w:name w:val="TableHeading"/>
    <w:aliases w:val="th"/>
    <w:basedOn w:val="Normal"/>
    <w:next w:val="Tabletext"/>
    <w:rsid w:val="00032C2C"/>
    <w:pPr>
      <w:keepNext/>
      <w:spacing w:before="60" w:after="0" w:line="240" w:lineRule="atLeast"/>
    </w:pPr>
    <w:rPr>
      <w:b/>
      <w:sz w:val="20"/>
      <w:szCs w:val="20"/>
      <w:lang w:val="en-AU" w:eastAsia="en-AU"/>
    </w:rPr>
  </w:style>
  <w:style w:type="character" w:customStyle="1" w:styleId="subsectionChar">
    <w:name w:val="subsection Char"/>
    <w:aliases w:val="ss Char"/>
    <w:link w:val="subsection"/>
    <w:rsid w:val="00032C2C"/>
    <w:rPr>
      <w:sz w:val="22"/>
      <w:lang w:val="en-AU" w:eastAsia="en-AU"/>
    </w:rPr>
  </w:style>
  <w:style w:type="character" w:customStyle="1" w:styleId="notetextChar">
    <w:name w:val="note(text) Char"/>
    <w:aliases w:val="n Char"/>
    <w:link w:val="notetext"/>
    <w:rsid w:val="00032C2C"/>
    <w:rPr>
      <w:sz w:val="18"/>
      <w:lang w:val="en-AU" w:eastAsia="en-AU"/>
    </w:rPr>
  </w:style>
  <w:style w:type="character" w:customStyle="1" w:styleId="ActHead5Char">
    <w:name w:val="ActHead 5 Char"/>
    <w:aliases w:val="s Char"/>
    <w:link w:val="ActHead5"/>
    <w:locked/>
    <w:rsid w:val="00032C2C"/>
    <w:rPr>
      <w:b/>
      <w:kern w:val="28"/>
      <w:sz w:val="24"/>
      <w:lang w:val="en-AU" w:eastAsia="en-AU"/>
    </w:rPr>
  </w:style>
  <w:style w:type="paragraph" w:customStyle="1" w:styleId="SOText">
    <w:name w:val="SO Text"/>
    <w:aliases w:val="sot"/>
    <w:link w:val="SOTextChar"/>
    <w:rsid w:val="00032C2C"/>
    <w:pPr>
      <w:pBdr>
        <w:top w:val="single" w:sz="6" w:space="5" w:color="auto"/>
        <w:left w:val="single" w:sz="6" w:space="5" w:color="auto"/>
        <w:bottom w:val="single" w:sz="6" w:space="5" w:color="auto"/>
        <w:right w:val="single" w:sz="6" w:space="5" w:color="auto"/>
      </w:pBdr>
      <w:spacing w:before="240"/>
      <w:ind w:left="1134"/>
    </w:pPr>
    <w:rPr>
      <w:rFonts w:eastAsia="Calibri"/>
      <w:sz w:val="22"/>
      <w:lang w:val="en-AU"/>
    </w:rPr>
  </w:style>
  <w:style w:type="character" w:customStyle="1" w:styleId="SOTextChar">
    <w:name w:val="SO Text Char"/>
    <w:aliases w:val="sot Char"/>
    <w:link w:val="SOText"/>
    <w:rsid w:val="00032C2C"/>
    <w:rPr>
      <w:rFonts w:eastAsia="Calibri"/>
      <w:sz w:val="22"/>
      <w:lang w:val="en-AU"/>
    </w:rPr>
  </w:style>
  <w:style w:type="character" w:styleId="PageNumber">
    <w:name w:val="page number"/>
    <w:basedOn w:val="DefaultParagraphFont"/>
    <w:semiHidden/>
    <w:unhideWhenUsed/>
    <w:rsid w:val="00A439E2"/>
  </w:style>
  <w:style w:type="paragraph" w:customStyle="1" w:styleId="Partheading">
    <w:name w:val="Part heading"/>
    <w:basedOn w:val="ActHead2"/>
    <w:link w:val="PartheadingChar"/>
    <w:qFormat/>
    <w:rsid w:val="003C544C"/>
    <w:pPr>
      <w:ind w:left="1854"/>
    </w:pPr>
  </w:style>
  <w:style w:type="paragraph" w:customStyle="1" w:styleId="Part">
    <w:name w:val="Part"/>
    <w:basedOn w:val="Normal"/>
    <w:link w:val="PartChar"/>
    <w:qFormat/>
    <w:rsid w:val="003C544C"/>
    <w:pPr>
      <w:ind w:left="720"/>
    </w:pPr>
    <w:rPr>
      <w:rFonts w:eastAsia="Calibri"/>
      <w:b/>
      <w:sz w:val="32"/>
      <w:szCs w:val="32"/>
    </w:rPr>
  </w:style>
  <w:style w:type="character" w:customStyle="1" w:styleId="ActHead2Char">
    <w:name w:val="ActHead 2 Char"/>
    <w:aliases w:val="p Char"/>
    <w:basedOn w:val="DefaultParagraphFont"/>
    <w:link w:val="ActHead2"/>
    <w:rsid w:val="003C544C"/>
    <w:rPr>
      <w:b/>
      <w:kern w:val="28"/>
      <w:sz w:val="32"/>
      <w:lang w:val="en-AU" w:eastAsia="en-AU"/>
    </w:rPr>
  </w:style>
  <w:style w:type="character" w:customStyle="1" w:styleId="PartheadingChar">
    <w:name w:val="Part heading Char"/>
    <w:basedOn w:val="ActHead2Char"/>
    <w:link w:val="Partheading"/>
    <w:rsid w:val="003C544C"/>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0">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start">
    <w:name w:val="Defstart"/>
    <w:rsid w:val="00EE0F58"/>
    <w:pPr>
      <w:spacing w:before="80" w:line="260" w:lineRule="atLeast"/>
      <w:ind w:left="879" w:hanging="879"/>
    </w:pPr>
    <w:rPr>
      <w:snapToGrid w:val="0"/>
      <w:sz w:val="24"/>
      <w:lang w:val="en-AU" w:eastAsia="en-AU"/>
    </w:rPr>
  </w:style>
  <w:style w:type="character" w:customStyle="1" w:styleId="CharDefText">
    <w:name w:val="CharDefText"/>
    <w:basedOn w:val="DefaultParagraphFont"/>
    <w:rsid w:val="00EE0F58"/>
    <w:rPr>
      <w:b/>
      <w:i/>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2"/>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Standard1">
    <w:name w:val="Standard 1"/>
    <w:basedOn w:val="Normal"/>
    <w:rsid w:val="00CC65F6"/>
    <w:pPr>
      <w:spacing w:line="360" w:lineRule="atLeast"/>
      <w:ind w:left="709"/>
      <w:jc w:val="both"/>
    </w:pPr>
    <w:rPr>
      <w:rFonts w:ascii="Arial" w:hAnsi="Arial"/>
      <w:sz w:val="22"/>
      <w:szCs w:val="20"/>
      <w:lang w:val="de-CH" w:eastAsia="de-DE"/>
    </w:rPr>
  </w:style>
  <w:style w:type="paragraph" w:customStyle="1" w:styleId="Formula">
    <w:name w:val="Formula"/>
    <w:basedOn w:val="Normal"/>
    <w:rsid w:val="00B23994"/>
    <w:pPr>
      <w:spacing w:before="0" w:after="0"/>
      <w:ind w:left="1134"/>
    </w:pPr>
    <w:rPr>
      <w:szCs w:val="20"/>
      <w:lang w:val="en-AU"/>
    </w:rPr>
  </w:style>
  <w:style w:type="paragraph" w:customStyle="1" w:styleId="Tablea">
    <w:name w:val="Table(a)"/>
    <w:aliases w:val="ta"/>
    <w:basedOn w:val="Normal"/>
    <w:rsid w:val="00B23994"/>
    <w:pPr>
      <w:spacing w:before="0" w:after="0"/>
      <w:ind w:left="284" w:hanging="284"/>
    </w:pPr>
    <w:rPr>
      <w:rFonts w:ascii="NewCenturySchlbk" w:hAnsi="NewCenturySchlbk"/>
      <w:szCs w:val="20"/>
      <w:lang w:val="en-AU"/>
    </w:rPr>
  </w:style>
  <w:style w:type="paragraph" w:customStyle="1" w:styleId="Tablei">
    <w:name w:val="Table(i)"/>
    <w:aliases w:val="taa"/>
    <w:basedOn w:val="Normal"/>
    <w:rsid w:val="00B23994"/>
    <w:pPr>
      <w:tabs>
        <w:tab w:val="left" w:pos="-6544"/>
        <w:tab w:val="right" w:pos="-6261"/>
        <w:tab w:val="left" w:pos="969"/>
      </w:tabs>
      <w:spacing w:before="0" w:after="0" w:line="240" w:lineRule="exact"/>
      <w:ind w:left="828" w:hanging="284"/>
    </w:pPr>
    <w:rPr>
      <w:rFonts w:ascii="NewCenturySchlbk" w:hAnsi="NewCenturySchlbk"/>
      <w:szCs w:val="20"/>
      <w:lang w:val="en-AU"/>
    </w:rPr>
  </w:style>
  <w:style w:type="paragraph" w:customStyle="1" w:styleId="Table">
    <w:name w:val="Table"/>
    <w:aliases w:val="t"/>
    <w:basedOn w:val="Normal"/>
    <w:rsid w:val="00B23994"/>
    <w:pPr>
      <w:spacing w:before="60" w:after="0" w:line="240" w:lineRule="atLeast"/>
    </w:pPr>
    <w:rPr>
      <w:sz w:val="22"/>
      <w:szCs w:val="20"/>
      <w:lang w:val="en-AU"/>
    </w:rPr>
  </w:style>
  <w:style w:type="character" w:styleId="LineNumber">
    <w:name w:val="line number"/>
    <w:semiHidden/>
    <w:rsid w:val="00B23994"/>
    <w:rPr>
      <w:rFonts w:ascii="Times" w:hAnsi="Times"/>
      <w:sz w:val="18"/>
    </w:rPr>
  </w:style>
  <w:style w:type="paragraph" w:customStyle="1" w:styleId="headerpart">
    <w:name w:val="header.part"/>
    <w:basedOn w:val="Normal"/>
    <w:rsid w:val="00B23994"/>
    <w:pPr>
      <w:keepNext/>
      <w:spacing w:before="0" w:after="0" w:line="260" w:lineRule="atLeast"/>
    </w:pPr>
    <w:rPr>
      <w:rFonts w:ascii="Arial" w:hAnsi="Arial"/>
      <w:b/>
      <w:szCs w:val="20"/>
      <w:lang w:val="en-AU"/>
    </w:rPr>
  </w:style>
  <w:style w:type="paragraph" w:customStyle="1" w:styleId="headerpartodd">
    <w:name w:val="header.part.odd"/>
    <w:basedOn w:val="headerpart"/>
    <w:rsid w:val="00B23994"/>
    <w:pPr>
      <w:ind w:left="5387" w:hanging="1134"/>
    </w:pPr>
  </w:style>
  <w:style w:type="paragraph" w:customStyle="1" w:styleId="ShortT">
    <w:name w:val="ShortT"/>
    <w:basedOn w:val="Normal"/>
    <w:next w:val="Normal"/>
    <w:rsid w:val="00B23994"/>
    <w:pPr>
      <w:spacing w:before="800" w:after="0"/>
      <w:jc w:val="center"/>
    </w:pPr>
    <w:rPr>
      <w:b/>
      <w:snapToGrid w:val="0"/>
      <w:sz w:val="38"/>
      <w:szCs w:val="20"/>
      <w:lang w:val="en-AU"/>
    </w:rPr>
  </w:style>
  <w:style w:type="paragraph" w:styleId="TOC9">
    <w:name w:val="toc 9"/>
    <w:next w:val="Normal"/>
    <w:semiHidden/>
    <w:rsid w:val="00B23994"/>
    <w:pPr>
      <w:tabs>
        <w:tab w:val="left" w:pos="2268"/>
        <w:tab w:val="right" w:pos="6237"/>
      </w:tabs>
      <w:ind w:left="2269" w:right="1418" w:hanging="851"/>
    </w:pPr>
    <w:rPr>
      <w:rFonts w:ascii="Helvetica" w:hAnsi="Helvetica"/>
      <w:sz w:val="18"/>
      <w:lang w:val="en-AU"/>
    </w:rPr>
  </w:style>
  <w:style w:type="paragraph" w:styleId="TOC3">
    <w:name w:val="toc 3"/>
    <w:next w:val="Normal"/>
    <w:uiPriority w:val="39"/>
    <w:qFormat/>
    <w:rsid w:val="00B23994"/>
    <w:pPr>
      <w:keepNext/>
      <w:spacing w:before="120" w:after="60"/>
      <w:ind w:left="1985" w:right="1134" w:hanging="567"/>
    </w:pPr>
    <w:rPr>
      <w:rFonts w:ascii="Helvetica" w:hAnsi="Helvetica"/>
      <w:b/>
      <w:noProof/>
      <w:sz w:val="18"/>
      <w:lang w:val="en-AU"/>
    </w:rPr>
  </w:style>
  <w:style w:type="paragraph" w:styleId="TOC4">
    <w:name w:val="toc 4"/>
    <w:next w:val="Normal"/>
    <w:semiHidden/>
    <w:rsid w:val="00B23994"/>
    <w:pPr>
      <w:keepNext/>
      <w:spacing w:before="60" w:after="20"/>
      <w:ind w:left="1985" w:right="1134" w:hanging="567"/>
    </w:pPr>
    <w:rPr>
      <w:b/>
      <w:noProof/>
      <w:sz w:val="22"/>
      <w:lang w:val="en-AU"/>
    </w:rPr>
  </w:style>
  <w:style w:type="paragraph" w:styleId="TOC5">
    <w:name w:val="toc 5"/>
    <w:next w:val="Normal"/>
    <w:semiHidden/>
    <w:rsid w:val="00B23994"/>
    <w:pPr>
      <w:keepNext/>
      <w:spacing w:before="60" w:after="20"/>
      <w:ind w:left="1985" w:right="1134" w:hanging="567"/>
    </w:pPr>
    <w:rPr>
      <w:rFonts w:ascii="Helvetica" w:hAnsi="Helvetica"/>
      <w:b/>
      <w:noProof/>
      <w:sz w:val="18"/>
      <w:lang w:val="en-AU"/>
    </w:rPr>
  </w:style>
  <w:style w:type="paragraph" w:styleId="TOC6">
    <w:name w:val="toc 6"/>
    <w:next w:val="Normal"/>
    <w:semiHidden/>
    <w:rsid w:val="00B23994"/>
    <w:pPr>
      <w:keepNext/>
      <w:spacing w:before="60" w:after="20"/>
      <w:ind w:left="1985" w:right="1134" w:hanging="567"/>
    </w:pPr>
    <w:rPr>
      <w:b/>
      <w:noProof/>
      <w:lang w:val="en-AU"/>
    </w:rPr>
  </w:style>
  <w:style w:type="paragraph" w:styleId="TOC7">
    <w:name w:val="toc 7"/>
    <w:next w:val="Normal"/>
    <w:semiHidden/>
    <w:rsid w:val="00B23994"/>
    <w:pPr>
      <w:keepNext/>
      <w:spacing w:before="60" w:after="20"/>
      <w:ind w:left="1985" w:right="1134" w:hanging="567"/>
    </w:pPr>
    <w:rPr>
      <w:rFonts w:ascii="Helvetica" w:hAnsi="Helvetica"/>
      <w:b/>
      <w:sz w:val="18"/>
      <w:lang w:val="en-AU"/>
    </w:rPr>
  </w:style>
  <w:style w:type="paragraph" w:styleId="TOC8">
    <w:name w:val="toc 8"/>
    <w:next w:val="Normal"/>
    <w:semiHidden/>
    <w:rsid w:val="00B23994"/>
    <w:pPr>
      <w:tabs>
        <w:tab w:val="left" w:pos="1418"/>
        <w:tab w:val="right" w:pos="6804"/>
      </w:tabs>
      <w:ind w:left="1418" w:right="1134" w:hanging="851"/>
    </w:pPr>
    <w:rPr>
      <w:noProof/>
      <w:sz w:val="22"/>
      <w:lang w:val="en-AU"/>
    </w:rPr>
  </w:style>
  <w:style w:type="paragraph" w:customStyle="1" w:styleId="Actno">
    <w:name w:val="Actno"/>
    <w:basedOn w:val="NameofActReg"/>
    <w:next w:val="Normal"/>
    <w:autoRedefine/>
    <w:rsid w:val="00B23994"/>
    <w:pPr>
      <w:spacing w:before="500"/>
    </w:pPr>
    <w:rPr>
      <w:sz w:val="26"/>
    </w:rPr>
  </w:style>
  <w:style w:type="paragraph" w:customStyle="1" w:styleId="NameofActReg">
    <w:name w:val="Name of Act/Reg"/>
    <w:next w:val="Normal"/>
    <w:rsid w:val="00B23994"/>
    <w:pPr>
      <w:spacing w:before="480" w:after="600"/>
      <w:jc w:val="center"/>
    </w:pPr>
    <w:rPr>
      <w:b/>
      <w:snapToGrid w:val="0"/>
      <w:sz w:val="34"/>
      <w:lang w:val="en-AU"/>
    </w:rPr>
  </w:style>
  <w:style w:type="paragraph" w:customStyle="1" w:styleId="Page1">
    <w:name w:val="Page1"/>
    <w:basedOn w:val="Normal"/>
    <w:rsid w:val="00B23994"/>
    <w:pPr>
      <w:spacing w:before="5103" w:after="0"/>
    </w:pPr>
    <w:rPr>
      <w:b/>
      <w:sz w:val="34"/>
      <w:szCs w:val="20"/>
      <w:lang w:val="en-AU"/>
    </w:rPr>
  </w:style>
  <w:style w:type="character" w:customStyle="1" w:styleId="CharAmSchNo">
    <w:name w:val="CharAmSchNo"/>
    <w:basedOn w:val="DefaultParagraphFont"/>
    <w:rsid w:val="00B23994"/>
  </w:style>
  <w:style w:type="character" w:customStyle="1" w:styleId="CharAmSchText">
    <w:name w:val="CharAmSchText"/>
    <w:basedOn w:val="DefaultParagraphFont"/>
    <w:rsid w:val="00B23994"/>
  </w:style>
  <w:style w:type="character" w:customStyle="1" w:styleId="CharChapNo">
    <w:name w:val="CharChapNo"/>
    <w:rsid w:val="00B23994"/>
    <w:rPr>
      <w:noProof w:val="0"/>
      <w:lang w:val="en-AU"/>
    </w:rPr>
  </w:style>
  <w:style w:type="character" w:customStyle="1" w:styleId="CharChapText">
    <w:name w:val="CharChapText"/>
    <w:rsid w:val="00B23994"/>
    <w:rPr>
      <w:noProof w:val="0"/>
      <w:lang w:val="en-AU"/>
    </w:rPr>
  </w:style>
  <w:style w:type="paragraph" w:customStyle="1" w:styleId="Preamble">
    <w:name w:val="Preamble"/>
    <w:rsid w:val="00B23994"/>
    <w:pPr>
      <w:tabs>
        <w:tab w:val="left" w:pos="567"/>
      </w:tabs>
      <w:spacing w:before="160" w:line="260" w:lineRule="atLeast"/>
      <w:ind w:left="567" w:hanging="567"/>
    </w:pPr>
    <w:rPr>
      <w:rFonts w:ascii="Times" w:hAnsi="Times"/>
      <w:sz w:val="24"/>
      <w:lang w:val="en-AU"/>
    </w:rPr>
  </w:style>
  <w:style w:type="paragraph" w:customStyle="1" w:styleId="Defsubpara">
    <w:name w:val="Defsubpara"/>
    <w:rsid w:val="00B23994"/>
    <w:pPr>
      <w:keepLines/>
      <w:tabs>
        <w:tab w:val="right" w:pos="2325"/>
        <w:tab w:val="left" w:pos="2608"/>
      </w:tabs>
      <w:spacing w:before="80" w:line="260" w:lineRule="atLeast"/>
      <w:ind w:left="2608" w:hanging="2608"/>
    </w:pPr>
    <w:rPr>
      <w:sz w:val="24"/>
      <w:lang w:val="en-AU"/>
    </w:rPr>
  </w:style>
  <w:style w:type="paragraph" w:styleId="DocumentMap">
    <w:name w:val="Document Map"/>
    <w:basedOn w:val="Normal"/>
    <w:link w:val="DocumentMapChar"/>
    <w:semiHidden/>
    <w:rsid w:val="00B23994"/>
    <w:pPr>
      <w:pBdr>
        <w:top w:val="single" w:sz="4" w:space="1" w:color="auto"/>
        <w:left w:val="single" w:sz="4" w:space="4" w:color="auto"/>
        <w:bottom w:val="single" w:sz="4" w:space="1" w:color="auto"/>
        <w:right w:val="single" w:sz="4" w:space="4" w:color="auto"/>
      </w:pBdr>
      <w:shd w:val="clear" w:color="auto" w:fill="000080"/>
      <w:spacing w:before="0" w:after="0"/>
    </w:pPr>
    <w:rPr>
      <w:szCs w:val="20"/>
      <w:lang w:val="en-AU"/>
    </w:rPr>
  </w:style>
  <w:style w:type="character" w:customStyle="1" w:styleId="DocumentMapChar">
    <w:name w:val="Document Map Char"/>
    <w:basedOn w:val="DefaultParagraphFont"/>
    <w:link w:val="DocumentMap"/>
    <w:semiHidden/>
    <w:rsid w:val="00B23994"/>
    <w:rPr>
      <w:sz w:val="24"/>
      <w:shd w:val="clear" w:color="auto" w:fill="000080"/>
      <w:lang w:val="en-AU"/>
    </w:rPr>
  </w:style>
  <w:style w:type="paragraph" w:customStyle="1" w:styleId="LongTitle">
    <w:name w:val="Long Title"/>
    <w:rsid w:val="00B23994"/>
    <w:rPr>
      <w:b/>
      <w:sz w:val="24"/>
      <w:lang w:val="en-AU"/>
    </w:rPr>
  </w:style>
  <w:style w:type="paragraph" w:customStyle="1" w:styleId="WA">
    <w:name w:val="WA"/>
    <w:rsid w:val="00B23994"/>
    <w:pPr>
      <w:spacing w:after="720"/>
      <w:jc w:val="center"/>
    </w:pPr>
    <w:rPr>
      <w:sz w:val="24"/>
      <w:lang w:val="en-AU"/>
    </w:rPr>
  </w:style>
  <w:style w:type="paragraph" w:customStyle="1" w:styleId="FooterPageRight">
    <w:name w:val="Footer.Page.Right"/>
    <w:rsid w:val="00B23994"/>
    <w:pPr>
      <w:pBdr>
        <w:top w:val="single" w:sz="4" w:space="1" w:color="auto"/>
      </w:pBdr>
      <w:jc w:val="right"/>
    </w:pPr>
    <w:rPr>
      <w:rFonts w:ascii="Arial" w:hAnsi="Arial"/>
      <w:lang w:val="en-AU"/>
    </w:rPr>
  </w:style>
  <w:style w:type="character" w:customStyle="1" w:styleId="CharPageNo">
    <w:name w:val="CharPageNo"/>
    <w:rsid w:val="00B23994"/>
    <w:rPr>
      <w:noProof w:val="0"/>
      <w:sz w:val="20"/>
      <w:lang w:val="en-AU"/>
    </w:rPr>
  </w:style>
  <w:style w:type="character" w:customStyle="1" w:styleId="EquationCaption">
    <w:name w:val="_Equation Caption"/>
    <w:rsid w:val="00B23994"/>
    <w:rPr>
      <w:rFonts w:ascii="Times New Roman" w:hAnsi="Times New Roman"/>
      <w:noProof w:val="0"/>
      <w:sz w:val="24"/>
      <w:lang w:val="en-AU"/>
    </w:rPr>
  </w:style>
  <w:style w:type="paragraph" w:customStyle="1" w:styleId="Arrangement">
    <w:name w:val="Arrangement"/>
    <w:rsid w:val="00B23994"/>
    <w:pPr>
      <w:pBdr>
        <w:top w:val="single" w:sz="4" w:space="10" w:color="auto"/>
        <w:bottom w:val="single" w:sz="4" w:space="10" w:color="auto"/>
      </w:pBdr>
      <w:tabs>
        <w:tab w:val="right" w:leader="dot" w:pos="7086"/>
      </w:tabs>
      <w:spacing w:after="480"/>
      <w:ind w:left="2304" w:right="2304"/>
      <w:jc w:val="center"/>
    </w:pPr>
    <w:rPr>
      <w:sz w:val="24"/>
      <w:lang w:val="en-AU"/>
    </w:rPr>
  </w:style>
  <w:style w:type="paragraph" w:customStyle="1" w:styleId="AssentNote">
    <w:name w:val="Assent Note"/>
    <w:rsid w:val="00B23994"/>
    <w:pPr>
      <w:keepLines/>
      <w:spacing w:before="160" w:after="240"/>
      <w:jc w:val="right"/>
    </w:pPr>
    <w:rPr>
      <w:i/>
      <w:snapToGrid w:val="0"/>
      <w:sz w:val="24"/>
      <w:lang w:val="en-AU"/>
    </w:rPr>
  </w:style>
  <w:style w:type="paragraph" w:styleId="BlockText">
    <w:name w:val="Block Text"/>
    <w:basedOn w:val="Normal"/>
    <w:semiHidden/>
    <w:rsid w:val="00B23994"/>
    <w:pPr>
      <w:spacing w:before="0"/>
      <w:ind w:left="1440" w:right="1440"/>
    </w:pPr>
    <w:rPr>
      <w:szCs w:val="20"/>
      <w:lang w:val="en-AU"/>
    </w:rPr>
  </w:style>
  <w:style w:type="paragraph" w:styleId="BodyText3">
    <w:name w:val="Body Text 3"/>
    <w:basedOn w:val="Normal"/>
    <w:link w:val="BodyText3Char"/>
    <w:semiHidden/>
    <w:rsid w:val="00B23994"/>
    <w:pPr>
      <w:spacing w:before="0"/>
    </w:pPr>
    <w:rPr>
      <w:sz w:val="18"/>
      <w:szCs w:val="20"/>
      <w:lang w:val="en-AU"/>
    </w:rPr>
  </w:style>
  <w:style w:type="character" w:customStyle="1" w:styleId="BodyText3Char">
    <w:name w:val="Body Text 3 Char"/>
    <w:basedOn w:val="DefaultParagraphFont"/>
    <w:link w:val="BodyText3"/>
    <w:semiHidden/>
    <w:rsid w:val="00B23994"/>
    <w:rPr>
      <w:sz w:val="18"/>
      <w:lang w:val="en-AU"/>
    </w:rPr>
  </w:style>
  <w:style w:type="paragraph" w:styleId="BodyTextFirstIndent">
    <w:name w:val="Body Text First Indent"/>
    <w:basedOn w:val="BodyText"/>
    <w:link w:val="BodyTextFirstIndentChar"/>
    <w:semiHidden/>
    <w:rsid w:val="00B23994"/>
    <w:pPr>
      <w:tabs>
        <w:tab w:val="clear" w:pos="-1985"/>
        <w:tab w:val="clear" w:pos="-1701"/>
        <w:tab w:val="clear" w:pos="-1440"/>
      </w:tabs>
      <w:autoSpaceDE/>
      <w:autoSpaceDN/>
      <w:adjustRightInd/>
      <w:spacing w:after="120" w:line="240" w:lineRule="auto"/>
      <w:ind w:firstLine="210"/>
      <w:jc w:val="left"/>
    </w:pPr>
    <w:rPr>
      <w:sz w:val="24"/>
      <w:szCs w:val="20"/>
      <w:lang w:val="en-AU"/>
    </w:rPr>
  </w:style>
  <w:style w:type="character" w:customStyle="1" w:styleId="BodyTextFirstIndentChar">
    <w:name w:val="Body Text First Indent Char"/>
    <w:basedOn w:val="BodyTextChar"/>
    <w:link w:val="BodyTextFirstIndent"/>
    <w:semiHidden/>
    <w:rsid w:val="00B23994"/>
    <w:rPr>
      <w:sz w:val="24"/>
      <w:szCs w:val="22"/>
      <w:lang w:val="en-AU"/>
    </w:rPr>
  </w:style>
  <w:style w:type="paragraph" w:styleId="BodyTextFirstIndent2">
    <w:name w:val="Body Text First Indent 2"/>
    <w:basedOn w:val="BodyTextIndent"/>
    <w:link w:val="BodyTextFirstIndent2Char"/>
    <w:semiHidden/>
    <w:rsid w:val="00B23994"/>
    <w:pPr>
      <w:spacing w:before="0"/>
      <w:ind w:left="283" w:firstLine="210"/>
    </w:pPr>
    <w:rPr>
      <w:szCs w:val="20"/>
      <w:lang w:val="en-AU"/>
    </w:rPr>
  </w:style>
  <w:style w:type="character" w:customStyle="1" w:styleId="BodyTextFirstIndent2Char">
    <w:name w:val="Body Text First Indent 2 Char"/>
    <w:basedOn w:val="BodyTextIndentChar"/>
    <w:link w:val="BodyTextFirstIndent2"/>
    <w:semiHidden/>
    <w:rsid w:val="00B23994"/>
    <w:rPr>
      <w:sz w:val="24"/>
      <w:szCs w:val="24"/>
      <w:lang w:val="en-AU"/>
    </w:rPr>
  </w:style>
  <w:style w:type="paragraph" w:styleId="BodyTextIndent2">
    <w:name w:val="Body Text Indent 2"/>
    <w:basedOn w:val="Normal"/>
    <w:link w:val="BodyTextIndent2Char"/>
    <w:semiHidden/>
    <w:rsid w:val="00B23994"/>
    <w:pPr>
      <w:spacing w:before="0" w:line="480" w:lineRule="auto"/>
      <w:ind w:left="283"/>
    </w:pPr>
    <w:rPr>
      <w:szCs w:val="20"/>
      <w:lang w:val="en-AU"/>
    </w:rPr>
  </w:style>
  <w:style w:type="character" w:customStyle="1" w:styleId="BodyTextIndent2Char">
    <w:name w:val="Body Text Indent 2 Char"/>
    <w:basedOn w:val="DefaultParagraphFont"/>
    <w:link w:val="BodyTextIndent2"/>
    <w:semiHidden/>
    <w:rsid w:val="00B23994"/>
    <w:rPr>
      <w:sz w:val="24"/>
      <w:lang w:val="en-AU"/>
    </w:rPr>
  </w:style>
  <w:style w:type="paragraph" w:styleId="BodyTextIndent3">
    <w:name w:val="Body Text Indent 3"/>
    <w:basedOn w:val="Normal"/>
    <w:link w:val="BodyTextIndent3Char"/>
    <w:semiHidden/>
    <w:rsid w:val="00B23994"/>
    <w:pPr>
      <w:spacing w:before="0"/>
      <w:ind w:left="283"/>
    </w:pPr>
    <w:rPr>
      <w:sz w:val="18"/>
      <w:szCs w:val="20"/>
      <w:lang w:val="en-AU"/>
    </w:rPr>
  </w:style>
  <w:style w:type="character" w:customStyle="1" w:styleId="BodyTextIndent3Char">
    <w:name w:val="Body Text Indent 3 Char"/>
    <w:basedOn w:val="DefaultParagraphFont"/>
    <w:link w:val="BodyTextIndent3"/>
    <w:semiHidden/>
    <w:rsid w:val="00B23994"/>
    <w:rPr>
      <w:sz w:val="18"/>
      <w:lang w:val="en-AU"/>
    </w:rPr>
  </w:style>
  <w:style w:type="paragraph" w:styleId="Caption">
    <w:name w:val="caption"/>
    <w:basedOn w:val="Normal"/>
    <w:next w:val="Normal"/>
    <w:qFormat/>
    <w:rsid w:val="00B23994"/>
    <w:rPr>
      <w:b/>
      <w:szCs w:val="20"/>
      <w:lang w:val="en-AU"/>
    </w:rPr>
  </w:style>
  <w:style w:type="character" w:customStyle="1" w:styleId="CharProduced">
    <w:name w:val="CharProduced"/>
    <w:rsid w:val="00B23994"/>
    <w:rPr>
      <w:noProof w:val="0"/>
      <w:spacing w:val="-3"/>
      <w:lang w:val="en-AU"/>
    </w:rPr>
  </w:style>
  <w:style w:type="character" w:customStyle="1" w:styleId="CharSchNo">
    <w:name w:val="CharSchNo"/>
    <w:rsid w:val="00B23994"/>
    <w:rPr>
      <w:noProof w:val="0"/>
      <w:lang w:val="en-AU"/>
    </w:rPr>
  </w:style>
  <w:style w:type="paragraph" w:styleId="Closing">
    <w:name w:val="Closing"/>
    <w:basedOn w:val="Normal"/>
    <w:link w:val="ClosingChar"/>
    <w:semiHidden/>
    <w:rsid w:val="00B23994"/>
    <w:pPr>
      <w:spacing w:before="0" w:after="0"/>
      <w:ind w:left="4252"/>
    </w:pPr>
    <w:rPr>
      <w:szCs w:val="20"/>
      <w:lang w:val="en-AU"/>
    </w:rPr>
  </w:style>
  <w:style w:type="character" w:customStyle="1" w:styleId="ClosingChar">
    <w:name w:val="Closing Char"/>
    <w:basedOn w:val="DefaultParagraphFont"/>
    <w:link w:val="Closing"/>
    <w:semiHidden/>
    <w:rsid w:val="00B23994"/>
    <w:rPr>
      <w:sz w:val="24"/>
      <w:lang w:val="en-AU"/>
    </w:rPr>
  </w:style>
  <w:style w:type="paragraph" w:styleId="Date">
    <w:name w:val="Date"/>
    <w:basedOn w:val="Normal"/>
    <w:next w:val="Normal"/>
    <w:link w:val="DateChar"/>
    <w:semiHidden/>
    <w:rsid w:val="00B23994"/>
    <w:pPr>
      <w:spacing w:before="0" w:after="0"/>
    </w:pPr>
    <w:rPr>
      <w:szCs w:val="20"/>
      <w:lang w:val="en-AU"/>
    </w:rPr>
  </w:style>
  <w:style w:type="character" w:customStyle="1" w:styleId="DateChar">
    <w:name w:val="Date Char"/>
    <w:basedOn w:val="DefaultParagraphFont"/>
    <w:link w:val="Date"/>
    <w:semiHidden/>
    <w:rsid w:val="00B23994"/>
    <w:rPr>
      <w:sz w:val="24"/>
      <w:lang w:val="en-AU"/>
    </w:rPr>
  </w:style>
  <w:style w:type="paragraph" w:customStyle="1" w:styleId="DefinitionNumbers">
    <w:name w:val="DefinitionNumbers"/>
    <w:basedOn w:val="Normal"/>
    <w:rsid w:val="00B23994"/>
    <w:pPr>
      <w:numPr>
        <w:numId w:val="13"/>
      </w:numPr>
      <w:spacing w:before="0" w:after="0"/>
    </w:pPr>
    <w:rPr>
      <w:szCs w:val="20"/>
      <w:lang w:val="en-AU"/>
    </w:rPr>
  </w:style>
  <w:style w:type="paragraph" w:customStyle="1" w:styleId="Defitem">
    <w:name w:val="Defitem"/>
    <w:rsid w:val="00B23994"/>
    <w:pPr>
      <w:tabs>
        <w:tab w:val="right" w:pos="3119"/>
        <w:tab w:val="left" w:pos="3402"/>
      </w:tabs>
      <w:spacing w:before="80" w:line="260" w:lineRule="atLeast"/>
      <w:ind w:left="3402" w:hanging="3402"/>
    </w:pPr>
    <w:rPr>
      <w:sz w:val="24"/>
      <w:lang w:val="en-AU"/>
    </w:rPr>
  </w:style>
  <w:style w:type="paragraph" w:customStyle="1" w:styleId="Ednoteitem">
    <w:name w:val="Ednote(item)"/>
    <w:rsid w:val="00B23994"/>
    <w:pPr>
      <w:tabs>
        <w:tab w:val="right" w:pos="2765"/>
        <w:tab w:val="left" w:pos="3053"/>
      </w:tabs>
      <w:spacing w:before="80" w:line="260" w:lineRule="atLeast"/>
      <w:ind w:left="3050" w:hanging="3050"/>
    </w:pPr>
    <w:rPr>
      <w:i/>
      <w:sz w:val="24"/>
      <w:lang w:val="en-AU"/>
    </w:rPr>
  </w:style>
  <w:style w:type="paragraph" w:customStyle="1" w:styleId="Ednotedefitem">
    <w:name w:val="Ednote(defitem)"/>
    <w:basedOn w:val="Ednoteitem"/>
    <w:rsid w:val="00B23994"/>
    <w:pPr>
      <w:tabs>
        <w:tab w:val="clear" w:pos="2765"/>
        <w:tab w:val="clear" w:pos="3053"/>
        <w:tab w:val="right" w:pos="2808"/>
        <w:tab w:val="left" w:pos="3096"/>
      </w:tabs>
    </w:pPr>
  </w:style>
  <w:style w:type="paragraph" w:customStyle="1" w:styleId="Ednotepara">
    <w:name w:val="Ednote(para)"/>
    <w:rsid w:val="00B23994"/>
    <w:pPr>
      <w:tabs>
        <w:tab w:val="right" w:pos="1325"/>
        <w:tab w:val="left" w:pos="1613"/>
      </w:tabs>
      <w:spacing w:before="120" w:line="260" w:lineRule="atLeast"/>
      <w:ind w:left="1613" w:hanging="1613"/>
    </w:pPr>
    <w:rPr>
      <w:i/>
      <w:sz w:val="24"/>
      <w:lang w:val="en-AU"/>
    </w:rPr>
  </w:style>
  <w:style w:type="paragraph" w:customStyle="1" w:styleId="Ednotedefpara">
    <w:name w:val="Ednote(defpara)"/>
    <w:basedOn w:val="Ednotepara"/>
    <w:rsid w:val="00B23994"/>
    <w:pPr>
      <w:tabs>
        <w:tab w:val="clear" w:pos="1325"/>
        <w:tab w:val="right" w:pos="1613"/>
        <w:tab w:val="left" w:pos="1901"/>
      </w:tabs>
    </w:pPr>
  </w:style>
  <w:style w:type="paragraph" w:customStyle="1" w:styleId="Ednotesubpara">
    <w:name w:val="Ednote(subpara)"/>
    <w:rsid w:val="00B23994"/>
    <w:pPr>
      <w:tabs>
        <w:tab w:val="right" w:pos="2047"/>
        <w:tab w:val="left" w:pos="2333"/>
      </w:tabs>
      <w:spacing w:before="80" w:line="260" w:lineRule="atLeast"/>
      <w:ind w:left="2330" w:hanging="2330"/>
    </w:pPr>
    <w:rPr>
      <w:i/>
      <w:sz w:val="24"/>
      <w:lang w:val="en-AU"/>
    </w:rPr>
  </w:style>
  <w:style w:type="paragraph" w:customStyle="1" w:styleId="Ednotedefsubpara">
    <w:name w:val="Ednote(defsubpara)"/>
    <w:basedOn w:val="Ednotesubpara"/>
    <w:rsid w:val="00B23994"/>
    <w:pPr>
      <w:tabs>
        <w:tab w:val="right" w:pos="2333"/>
        <w:tab w:val="left" w:pos="2621"/>
      </w:tabs>
    </w:pPr>
  </w:style>
  <w:style w:type="paragraph" w:customStyle="1" w:styleId="Ednotepenitem">
    <w:name w:val="Ednote(penitem)"/>
    <w:basedOn w:val="Ednoteitem"/>
    <w:rsid w:val="00B23994"/>
  </w:style>
  <w:style w:type="paragraph" w:customStyle="1" w:styleId="Ednotepenpara">
    <w:name w:val="Ednote(penpara)"/>
    <w:basedOn w:val="Ednotepara"/>
    <w:rsid w:val="00B23994"/>
  </w:style>
  <w:style w:type="paragraph" w:customStyle="1" w:styleId="Ednotepensubpara">
    <w:name w:val="Ednote(pensubpara)"/>
    <w:basedOn w:val="Ednotesubpara"/>
    <w:rsid w:val="00B23994"/>
  </w:style>
  <w:style w:type="paragraph" w:customStyle="1" w:styleId="Ednotesection">
    <w:name w:val="Ednote(section)"/>
    <w:rsid w:val="00B23994"/>
    <w:pPr>
      <w:tabs>
        <w:tab w:val="left" w:pos="893"/>
      </w:tabs>
      <w:spacing w:before="220" w:line="260" w:lineRule="atLeast"/>
      <w:ind w:left="893" w:hanging="893"/>
      <w:outlineLvl w:val="4"/>
    </w:pPr>
    <w:rPr>
      <w:i/>
      <w:snapToGrid w:val="0"/>
      <w:sz w:val="24"/>
      <w:lang w:val="en-AU"/>
    </w:rPr>
  </w:style>
  <w:style w:type="paragraph" w:customStyle="1" w:styleId="Ednotesubitem">
    <w:name w:val="Ednote(subitem)"/>
    <w:rsid w:val="00B23994"/>
    <w:pPr>
      <w:tabs>
        <w:tab w:val="right" w:pos="3485"/>
        <w:tab w:val="left" w:pos="3773"/>
      </w:tabs>
      <w:spacing w:before="80" w:line="260" w:lineRule="atLeast"/>
      <w:ind w:left="3771" w:hanging="3771"/>
    </w:pPr>
    <w:rPr>
      <w:i/>
      <w:sz w:val="24"/>
      <w:lang w:val="en-AU"/>
    </w:rPr>
  </w:style>
  <w:style w:type="paragraph" w:customStyle="1" w:styleId="Ednotesubsection">
    <w:name w:val="Ednote(subsection)"/>
    <w:basedOn w:val="Ednotesection"/>
    <w:rsid w:val="00B23994"/>
    <w:pPr>
      <w:tabs>
        <w:tab w:val="clear" w:pos="893"/>
        <w:tab w:val="right" w:pos="595"/>
        <w:tab w:val="left" w:pos="879"/>
      </w:tabs>
      <w:spacing w:before="160"/>
      <w:ind w:left="890" w:hanging="890"/>
      <w:outlineLvl w:val="9"/>
    </w:pPr>
  </w:style>
  <w:style w:type="paragraph" w:customStyle="1" w:styleId="Enactment">
    <w:name w:val="Enactment"/>
    <w:rsid w:val="00B23994"/>
    <w:pPr>
      <w:spacing w:before="800"/>
    </w:pPr>
    <w:rPr>
      <w:sz w:val="24"/>
      <w:lang w:val="en-AU"/>
    </w:rPr>
  </w:style>
  <w:style w:type="paragraph" w:styleId="EnvelopeAddress">
    <w:name w:val="envelope address"/>
    <w:basedOn w:val="Normal"/>
    <w:semiHidden/>
    <w:rsid w:val="00B23994"/>
    <w:pPr>
      <w:framePr w:w="7920" w:h="1980" w:hRule="exact" w:hSpace="180" w:wrap="auto" w:hAnchor="page" w:xAlign="center" w:yAlign="bottom"/>
      <w:spacing w:before="0" w:after="0"/>
      <w:ind w:left="2880"/>
    </w:pPr>
    <w:rPr>
      <w:rFonts w:ascii="Arial" w:hAnsi="Arial"/>
      <w:sz w:val="26"/>
      <w:szCs w:val="20"/>
      <w:lang w:val="en-AU"/>
    </w:rPr>
  </w:style>
  <w:style w:type="paragraph" w:styleId="EnvelopeReturn">
    <w:name w:val="envelope return"/>
    <w:basedOn w:val="Normal"/>
    <w:semiHidden/>
    <w:rsid w:val="00B23994"/>
    <w:pPr>
      <w:spacing w:before="0" w:after="0"/>
    </w:pPr>
    <w:rPr>
      <w:rFonts w:ascii="Arial" w:hAnsi="Arial"/>
      <w:szCs w:val="20"/>
      <w:lang w:val="en-AU"/>
    </w:rPr>
  </w:style>
  <w:style w:type="paragraph" w:customStyle="1" w:styleId="FooterDisclaimer">
    <w:name w:val="Footer.Disclaimer"/>
    <w:rsid w:val="00B23994"/>
    <w:pPr>
      <w:jc w:val="center"/>
    </w:pPr>
    <w:rPr>
      <w:rFonts w:ascii="Arial" w:hAnsi="Arial"/>
      <w:i/>
      <w:sz w:val="16"/>
      <w:lang w:val="en-AU"/>
    </w:rPr>
  </w:style>
  <w:style w:type="paragraph" w:customStyle="1" w:styleId="FooterPageLeft">
    <w:name w:val="Footer.Page.Left"/>
    <w:rsid w:val="00B23994"/>
    <w:pPr>
      <w:pBdr>
        <w:top w:val="single" w:sz="4" w:space="1" w:color="auto"/>
      </w:pBdr>
    </w:pPr>
    <w:rPr>
      <w:rFonts w:ascii="Arial" w:hAnsi="Arial"/>
      <w:lang w:val="en-AU"/>
    </w:rPr>
  </w:style>
  <w:style w:type="paragraph" w:customStyle="1" w:styleId="Footnoteheading">
    <w:name w:val="Footnote(heading)"/>
    <w:rsid w:val="00B23994"/>
    <w:pPr>
      <w:tabs>
        <w:tab w:val="left" w:pos="879"/>
      </w:tabs>
      <w:spacing w:before="120" w:line="260" w:lineRule="atLeast"/>
      <w:ind w:left="879" w:hanging="879"/>
    </w:pPr>
    <w:rPr>
      <w:i/>
      <w:sz w:val="24"/>
      <w:lang w:val="en-AU"/>
    </w:rPr>
  </w:style>
  <w:style w:type="paragraph" w:customStyle="1" w:styleId="Footnotesection">
    <w:name w:val="Footnote(section)"/>
    <w:rsid w:val="00B23994"/>
    <w:pPr>
      <w:keepLines/>
      <w:tabs>
        <w:tab w:val="left" w:pos="893"/>
      </w:tabs>
      <w:spacing w:before="120" w:line="260" w:lineRule="atLeast"/>
      <w:ind w:left="893" w:hanging="893"/>
    </w:pPr>
    <w:rPr>
      <w:i/>
      <w:snapToGrid w:val="0"/>
      <w:sz w:val="24"/>
      <w:lang w:val="en-AU"/>
    </w:rPr>
  </w:style>
  <w:style w:type="paragraph" w:customStyle="1" w:styleId="HeaderActNameLeft">
    <w:name w:val="Header.ActName.Left"/>
    <w:rsid w:val="00B23994"/>
    <w:rPr>
      <w:rFonts w:ascii="Arial" w:hAnsi="Arial"/>
      <w:b/>
      <w:i/>
      <w:lang w:val="en-AU"/>
    </w:rPr>
  </w:style>
  <w:style w:type="paragraph" w:customStyle="1" w:styleId="HeaderActNameRight">
    <w:name w:val="Header.ActName.Right"/>
    <w:rsid w:val="00B23994"/>
    <w:pPr>
      <w:jc w:val="right"/>
    </w:pPr>
    <w:rPr>
      <w:rFonts w:ascii="Arial" w:hAnsi="Arial"/>
      <w:b/>
      <w:i/>
      <w:lang w:val="en-AU"/>
    </w:rPr>
  </w:style>
  <w:style w:type="paragraph" w:customStyle="1" w:styleId="HeaderNumberLeft">
    <w:name w:val="Header.Number.Left"/>
    <w:rsid w:val="00B23994"/>
    <w:pPr>
      <w:spacing w:before="40"/>
    </w:pPr>
    <w:rPr>
      <w:rFonts w:ascii="Arial" w:hAnsi="Arial"/>
      <w:b/>
      <w:lang w:val="en-AU"/>
    </w:rPr>
  </w:style>
  <w:style w:type="paragraph" w:customStyle="1" w:styleId="HeaderNumberRight">
    <w:name w:val="Header.Number.Right"/>
    <w:rsid w:val="00B23994"/>
    <w:pPr>
      <w:spacing w:before="40"/>
      <w:jc w:val="right"/>
    </w:pPr>
    <w:rPr>
      <w:rFonts w:ascii="Arial" w:hAnsi="Arial"/>
      <w:b/>
      <w:lang w:val="en-AU"/>
    </w:rPr>
  </w:style>
  <w:style w:type="paragraph" w:customStyle="1" w:styleId="HeaderSectionLeft">
    <w:name w:val="Header.Section.Left"/>
    <w:rsid w:val="00B23994"/>
    <w:pPr>
      <w:spacing w:before="120"/>
    </w:pPr>
    <w:rPr>
      <w:rFonts w:ascii="Arial" w:hAnsi="Arial"/>
      <w:b/>
      <w:lang w:val="en-AU"/>
    </w:rPr>
  </w:style>
  <w:style w:type="paragraph" w:customStyle="1" w:styleId="HeaderSectionRight">
    <w:name w:val="Header.Section.Right"/>
    <w:rsid w:val="00B23994"/>
    <w:pPr>
      <w:spacing w:before="120"/>
      <w:jc w:val="right"/>
    </w:pPr>
    <w:rPr>
      <w:rFonts w:ascii="Arial" w:hAnsi="Arial"/>
      <w:b/>
      <w:lang w:val="en-AU"/>
    </w:rPr>
  </w:style>
  <w:style w:type="paragraph" w:customStyle="1" w:styleId="HeaderTextLeft">
    <w:name w:val="Header.Text.Left"/>
    <w:rsid w:val="00B23994"/>
    <w:pPr>
      <w:spacing w:before="40"/>
    </w:pPr>
    <w:rPr>
      <w:rFonts w:ascii="Arial" w:hAnsi="Arial"/>
      <w:lang w:val="en-AU"/>
    </w:rPr>
  </w:style>
  <w:style w:type="paragraph" w:customStyle="1" w:styleId="HeaderTextRight">
    <w:name w:val="Header.Text.Right"/>
    <w:rsid w:val="00B23994"/>
    <w:pPr>
      <w:spacing w:before="40"/>
      <w:jc w:val="right"/>
    </w:pPr>
    <w:rPr>
      <w:rFonts w:ascii="Arial" w:hAnsi="Arial"/>
      <w:lang w:val="en-AU"/>
    </w:rPr>
  </w:style>
  <w:style w:type="paragraph" w:customStyle="1" w:styleId="Indenta">
    <w:name w:val="Indent(a)"/>
    <w:rsid w:val="00B23994"/>
    <w:pPr>
      <w:tabs>
        <w:tab w:val="right" w:pos="1332"/>
        <w:tab w:val="left" w:pos="1616"/>
      </w:tabs>
      <w:spacing w:before="80" w:line="260" w:lineRule="atLeast"/>
      <w:ind w:left="1616" w:hanging="1616"/>
    </w:pPr>
    <w:rPr>
      <w:sz w:val="24"/>
      <w:lang w:val="en-AU"/>
    </w:rPr>
  </w:style>
  <w:style w:type="paragraph" w:customStyle="1" w:styleId="IndentA0">
    <w:name w:val="Indent(A)"/>
    <w:rsid w:val="00B23994"/>
    <w:pPr>
      <w:tabs>
        <w:tab w:val="right" w:pos="3686"/>
        <w:tab w:val="left" w:pos="3969"/>
      </w:tabs>
      <w:spacing w:before="80" w:line="260" w:lineRule="atLeast"/>
      <w:ind w:left="3969" w:hanging="3969"/>
    </w:pPr>
    <w:rPr>
      <w:sz w:val="24"/>
      <w:lang w:val="en-AU"/>
    </w:rPr>
  </w:style>
  <w:style w:type="paragraph" w:customStyle="1" w:styleId="Indenti">
    <w:name w:val="Indent(i)"/>
    <w:rsid w:val="00B23994"/>
    <w:pPr>
      <w:tabs>
        <w:tab w:val="right" w:pos="2041"/>
        <w:tab w:val="left" w:pos="2325"/>
      </w:tabs>
      <w:spacing w:before="80" w:line="260" w:lineRule="atLeast"/>
      <w:ind w:left="2325" w:hanging="2325"/>
    </w:pPr>
    <w:rPr>
      <w:sz w:val="24"/>
      <w:lang w:val="en-AU"/>
    </w:rPr>
  </w:style>
  <w:style w:type="paragraph" w:customStyle="1" w:styleId="IndentI0">
    <w:name w:val="Indent(I)"/>
    <w:rsid w:val="00B23994"/>
    <w:pPr>
      <w:tabs>
        <w:tab w:val="right" w:pos="2892"/>
        <w:tab w:val="left" w:pos="3204"/>
      </w:tabs>
      <w:spacing w:before="80" w:line="260" w:lineRule="atLeast"/>
      <w:ind w:left="3204" w:hanging="3204"/>
    </w:pPr>
    <w:rPr>
      <w:sz w:val="24"/>
      <w:lang w:val="en-AU"/>
    </w:rPr>
  </w:style>
  <w:style w:type="paragraph" w:styleId="Index1">
    <w:name w:val="index 1"/>
    <w:basedOn w:val="Normal"/>
    <w:next w:val="Normal"/>
    <w:autoRedefine/>
    <w:semiHidden/>
    <w:rsid w:val="00B23994"/>
    <w:pPr>
      <w:spacing w:before="0" w:after="0"/>
      <w:ind w:left="200" w:hanging="200"/>
    </w:pPr>
    <w:rPr>
      <w:szCs w:val="20"/>
      <w:lang w:val="en-AU"/>
    </w:rPr>
  </w:style>
  <w:style w:type="paragraph" w:styleId="Index2">
    <w:name w:val="index 2"/>
    <w:basedOn w:val="Normal"/>
    <w:next w:val="Normal"/>
    <w:autoRedefine/>
    <w:semiHidden/>
    <w:rsid w:val="00B23994"/>
    <w:pPr>
      <w:spacing w:before="0" w:after="0"/>
      <w:ind w:left="400" w:hanging="200"/>
    </w:pPr>
    <w:rPr>
      <w:szCs w:val="20"/>
      <w:lang w:val="en-AU"/>
    </w:rPr>
  </w:style>
  <w:style w:type="paragraph" w:styleId="Index3">
    <w:name w:val="index 3"/>
    <w:basedOn w:val="Normal"/>
    <w:next w:val="Normal"/>
    <w:autoRedefine/>
    <w:semiHidden/>
    <w:rsid w:val="00B23994"/>
    <w:pPr>
      <w:spacing w:before="0" w:after="0"/>
      <w:ind w:left="600" w:hanging="200"/>
    </w:pPr>
    <w:rPr>
      <w:szCs w:val="20"/>
      <w:lang w:val="en-AU"/>
    </w:rPr>
  </w:style>
  <w:style w:type="paragraph" w:styleId="Index4">
    <w:name w:val="index 4"/>
    <w:basedOn w:val="Normal"/>
    <w:next w:val="Normal"/>
    <w:autoRedefine/>
    <w:semiHidden/>
    <w:rsid w:val="00B23994"/>
    <w:pPr>
      <w:spacing w:before="0" w:after="0"/>
      <w:ind w:left="800" w:hanging="200"/>
    </w:pPr>
    <w:rPr>
      <w:szCs w:val="20"/>
      <w:lang w:val="en-AU"/>
    </w:rPr>
  </w:style>
  <w:style w:type="paragraph" w:styleId="Index5">
    <w:name w:val="index 5"/>
    <w:basedOn w:val="Normal"/>
    <w:next w:val="Normal"/>
    <w:autoRedefine/>
    <w:semiHidden/>
    <w:rsid w:val="00B23994"/>
    <w:pPr>
      <w:spacing w:before="0" w:after="0"/>
      <w:ind w:left="1000" w:hanging="200"/>
    </w:pPr>
    <w:rPr>
      <w:szCs w:val="20"/>
      <w:lang w:val="en-AU"/>
    </w:rPr>
  </w:style>
  <w:style w:type="paragraph" w:styleId="Index6">
    <w:name w:val="index 6"/>
    <w:basedOn w:val="Normal"/>
    <w:next w:val="Normal"/>
    <w:autoRedefine/>
    <w:semiHidden/>
    <w:rsid w:val="00B23994"/>
    <w:pPr>
      <w:spacing w:before="0" w:after="0"/>
      <w:ind w:left="1200" w:hanging="200"/>
    </w:pPr>
    <w:rPr>
      <w:szCs w:val="20"/>
      <w:lang w:val="en-AU"/>
    </w:rPr>
  </w:style>
  <w:style w:type="paragraph" w:styleId="Index7">
    <w:name w:val="index 7"/>
    <w:basedOn w:val="Normal"/>
    <w:next w:val="Normal"/>
    <w:autoRedefine/>
    <w:semiHidden/>
    <w:rsid w:val="00B23994"/>
    <w:pPr>
      <w:spacing w:before="0" w:after="0"/>
      <w:ind w:left="1400" w:hanging="200"/>
    </w:pPr>
    <w:rPr>
      <w:szCs w:val="20"/>
      <w:lang w:val="en-AU"/>
    </w:rPr>
  </w:style>
  <w:style w:type="paragraph" w:styleId="Index8">
    <w:name w:val="index 8"/>
    <w:basedOn w:val="Normal"/>
    <w:next w:val="Normal"/>
    <w:autoRedefine/>
    <w:semiHidden/>
    <w:rsid w:val="00B23994"/>
    <w:pPr>
      <w:spacing w:before="0" w:after="0"/>
      <w:ind w:left="1600" w:hanging="200"/>
    </w:pPr>
    <w:rPr>
      <w:szCs w:val="20"/>
      <w:lang w:val="en-AU"/>
    </w:rPr>
  </w:style>
  <w:style w:type="paragraph" w:styleId="Index9">
    <w:name w:val="index 9"/>
    <w:basedOn w:val="Normal"/>
    <w:next w:val="Normal"/>
    <w:autoRedefine/>
    <w:semiHidden/>
    <w:rsid w:val="00B23994"/>
    <w:pPr>
      <w:spacing w:before="0" w:after="0"/>
      <w:ind w:left="1800" w:hanging="200"/>
    </w:pPr>
    <w:rPr>
      <w:szCs w:val="20"/>
      <w:lang w:val="en-AU"/>
    </w:rPr>
  </w:style>
  <w:style w:type="paragraph" w:styleId="IndexHeading">
    <w:name w:val="index heading"/>
    <w:basedOn w:val="Normal"/>
    <w:next w:val="Index1"/>
    <w:semiHidden/>
    <w:rsid w:val="00B23994"/>
    <w:pPr>
      <w:spacing w:before="0" w:after="0"/>
    </w:pPr>
    <w:rPr>
      <w:rFonts w:ascii="Arial" w:hAnsi="Arial"/>
      <w:b/>
      <w:szCs w:val="20"/>
      <w:lang w:val="en-AU"/>
    </w:rPr>
  </w:style>
  <w:style w:type="paragraph" w:styleId="List">
    <w:name w:val="List"/>
    <w:basedOn w:val="Normal"/>
    <w:semiHidden/>
    <w:rsid w:val="00B23994"/>
    <w:pPr>
      <w:spacing w:before="0" w:after="0"/>
      <w:ind w:left="283" w:hanging="283"/>
    </w:pPr>
    <w:rPr>
      <w:szCs w:val="20"/>
      <w:lang w:val="en-AU"/>
    </w:rPr>
  </w:style>
  <w:style w:type="paragraph" w:styleId="List2">
    <w:name w:val="List 2"/>
    <w:basedOn w:val="Normal"/>
    <w:semiHidden/>
    <w:rsid w:val="00B23994"/>
    <w:pPr>
      <w:spacing w:before="0" w:after="0"/>
      <w:ind w:left="566" w:hanging="283"/>
    </w:pPr>
    <w:rPr>
      <w:szCs w:val="20"/>
      <w:lang w:val="en-AU"/>
    </w:rPr>
  </w:style>
  <w:style w:type="paragraph" w:styleId="List3">
    <w:name w:val="List 3"/>
    <w:basedOn w:val="Normal"/>
    <w:semiHidden/>
    <w:rsid w:val="00B23994"/>
    <w:pPr>
      <w:spacing w:before="0" w:after="0"/>
      <w:ind w:left="849" w:hanging="283"/>
    </w:pPr>
    <w:rPr>
      <w:szCs w:val="20"/>
      <w:lang w:val="en-AU"/>
    </w:rPr>
  </w:style>
  <w:style w:type="paragraph" w:styleId="List4">
    <w:name w:val="List 4"/>
    <w:basedOn w:val="Normal"/>
    <w:semiHidden/>
    <w:rsid w:val="00B23994"/>
    <w:pPr>
      <w:spacing w:before="0" w:after="0"/>
      <w:ind w:left="1132" w:hanging="283"/>
    </w:pPr>
    <w:rPr>
      <w:szCs w:val="20"/>
      <w:lang w:val="en-AU"/>
    </w:rPr>
  </w:style>
  <w:style w:type="paragraph" w:styleId="List5">
    <w:name w:val="List 5"/>
    <w:basedOn w:val="Normal"/>
    <w:semiHidden/>
    <w:rsid w:val="00B23994"/>
    <w:pPr>
      <w:spacing w:before="0" w:after="0"/>
      <w:ind w:left="1415" w:hanging="283"/>
    </w:pPr>
    <w:rPr>
      <w:szCs w:val="20"/>
      <w:lang w:val="en-AU"/>
    </w:rPr>
  </w:style>
  <w:style w:type="paragraph" w:styleId="ListBullet">
    <w:name w:val="List Bullet"/>
    <w:basedOn w:val="Normal"/>
    <w:autoRedefine/>
    <w:semiHidden/>
    <w:rsid w:val="00B23994"/>
    <w:pPr>
      <w:numPr>
        <w:numId w:val="14"/>
      </w:numPr>
      <w:spacing w:before="0" w:after="0"/>
    </w:pPr>
    <w:rPr>
      <w:szCs w:val="20"/>
      <w:lang w:val="en-AU"/>
    </w:rPr>
  </w:style>
  <w:style w:type="paragraph" w:styleId="ListBullet2">
    <w:name w:val="List Bullet 2"/>
    <w:basedOn w:val="Normal"/>
    <w:autoRedefine/>
    <w:semiHidden/>
    <w:rsid w:val="00B23994"/>
    <w:pPr>
      <w:numPr>
        <w:numId w:val="15"/>
      </w:numPr>
      <w:spacing w:before="0" w:after="0"/>
    </w:pPr>
    <w:rPr>
      <w:szCs w:val="20"/>
      <w:lang w:val="en-AU"/>
    </w:rPr>
  </w:style>
  <w:style w:type="paragraph" w:styleId="ListBullet3">
    <w:name w:val="List Bullet 3"/>
    <w:basedOn w:val="Normal"/>
    <w:autoRedefine/>
    <w:semiHidden/>
    <w:rsid w:val="00B23994"/>
    <w:pPr>
      <w:numPr>
        <w:numId w:val="16"/>
      </w:numPr>
      <w:spacing w:before="0" w:after="0"/>
    </w:pPr>
    <w:rPr>
      <w:szCs w:val="20"/>
      <w:lang w:val="en-AU"/>
    </w:rPr>
  </w:style>
  <w:style w:type="paragraph" w:styleId="ListBullet4">
    <w:name w:val="List Bullet 4"/>
    <w:basedOn w:val="Normal"/>
    <w:autoRedefine/>
    <w:semiHidden/>
    <w:rsid w:val="00B23994"/>
    <w:pPr>
      <w:numPr>
        <w:numId w:val="17"/>
      </w:numPr>
      <w:spacing w:before="0" w:after="0"/>
    </w:pPr>
    <w:rPr>
      <w:szCs w:val="20"/>
      <w:lang w:val="en-AU"/>
    </w:rPr>
  </w:style>
  <w:style w:type="paragraph" w:styleId="ListBullet5">
    <w:name w:val="List Bullet 5"/>
    <w:basedOn w:val="Normal"/>
    <w:autoRedefine/>
    <w:semiHidden/>
    <w:rsid w:val="00B23994"/>
    <w:pPr>
      <w:numPr>
        <w:numId w:val="18"/>
      </w:numPr>
      <w:spacing w:before="0" w:after="0"/>
    </w:pPr>
    <w:rPr>
      <w:szCs w:val="20"/>
      <w:lang w:val="en-AU"/>
    </w:rPr>
  </w:style>
  <w:style w:type="paragraph" w:styleId="ListContinue">
    <w:name w:val="List Continue"/>
    <w:basedOn w:val="Normal"/>
    <w:semiHidden/>
    <w:rsid w:val="00B23994"/>
    <w:pPr>
      <w:spacing w:before="0"/>
      <w:ind w:left="283"/>
    </w:pPr>
    <w:rPr>
      <w:szCs w:val="20"/>
      <w:lang w:val="en-AU"/>
    </w:rPr>
  </w:style>
  <w:style w:type="paragraph" w:styleId="ListContinue2">
    <w:name w:val="List Continue 2"/>
    <w:basedOn w:val="Normal"/>
    <w:semiHidden/>
    <w:rsid w:val="00B23994"/>
    <w:pPr>
      <w:spacing w:before="0"/>
      <w:ind w:left="566"/>
    </w:pPr>
    <w:rPr>
      <w:szCs w:val="20"/>
      <w:lang w:val="en-AU"/>
    </w:rPr>
  </w:style>
  <w:style w:type="paragraph" w:styleId="ListContinue3">
    <w:name w:val="List Continue 3"/>
    <w:basedOn w:val="Normal"/>
    <w:semiHidden/>
    <w:rsid w:val="00B23994"/>
    <w:pPr>
      <w:spacing w:before="0"/>
      <w:ind w:left="849"/>
    </w:pPr>
    <w:rPr>
      <w:szCs w:val="20"/>
      <w:lang w:val="en-AU"/>
    </w:rPr>
  </w:style>
  <w:style w:type="paragraph" w:styleId="ListContinue4">
    <w:name w:val="List Continue 4"/>
    <w:basedOn w:val="Normal"/>
    <w:semiHidden/>
    <w:rsid w:val="00B23994"/>
    <w:pPr>
      <w:spacing w:before="0"/>
      <w:ind w:left="1132"/>
    </w:pPr>
    <w:rPr>
      <w:szCs w:val="20"/>
      <w:lang w:val="en-AU"/>
    </w:rPr>
  </w:style>
  <w:style w:type="paragraph" w:styleId="ListContinue5">
    <w:name w:val="List Continue 5"/>
    <w:basedOn w:val="Normal"/>
    <w:semiHidden/>
    <w:rsid w:val="00B23994"/>
    <w:pPr>
      <w:spacing w:before="0"/>
      <w:ind w:left="1415"/>
    </w:pPr>
    <w:rPr>
      <w:szCs w:val="20"/>
      <w:lang w:val="en-AU"/>
    </w:rPr>
  </w:style>
  <w:style w:type="paragraph" w:styleId="ListNumber3">
    <w:name w:val="List Number 3"/>
    <w:basedOn w:val="Normal"/>
    <w:semiHidden/>
    <w:rsid w:val="00B23994"/>
    <w:pPr>
      <w:numPr>
        <w:numId w:val="19"/>
      </w:numPr>
      <w:spacing w:before="0" w:after="0"/>
    </w:pPr>
    <w:rPr>
      <w:szCs w:val="20"/>
      <w:lang w:val="en-AU"/>
    </w:rPr>
  </w:style>
  <w:style w:type="paragraph" w:styleId="ListNumber4">
    <w:name w:val="List Number 4"/>
    <w:basedOn w:val="Normal"/>
    <w:semiHidden/>
    <w:rsid w:val="00B23994"/>
    <w:pPr>
      <w:numPr>
        <w:numId w:val="20"/>
      </w:numPr>
      <w:spacing w:before="0" w:after="0"/>
    </w:pPr>
    <w:rPr>
      <w:szCs w:val="20"/>
      <w:lang w:val="en-AU"/>
    </w:rPr>
  </w:style>
  <w:style w:type="paragraph" w:styleId="ListNumber5">
    <w:name w:val="List Number 5"/>
    <w:basedOn w:val="Normal"/>
    <w:semiHidden/>
    <w:rsid w:val="00B23994"/>
    <w:pPr>
      <w:numPr>
        <w:numId w:val="21"/>
      </w:numPr>
      <w:spacing w:before="0" w:after="0"/>
    </w:pPr>
    <w:rPr>
      <w:szCs w:val="20"/>
      <w:lang w:val="en-AU"/>
    </w:rPr>
  </w:style>
  <w:style w:type="paragraph" w:styleId="MacroText">
    <w:name w:val="macro"/>
    <w:link w:val="MacroTextChar"/>
    <w:semiHidden/>
    <w:rsid w:val="00B23994"/>
    <w:pPr>
      <w:tabs>
        <w:tab w:val="left" w:pos="480"/>
        <w:tab w:val="left" w:pos="960"/>
        <w:tab w:val="left" w:pos="1440"/>
        <w:tab w:val="left" w:pos="1920"/>
        <w:tab w:val="left" w:pos="2400"/>
        <w:tab w:val="left" w:pos="2880"/>
        <w:tab w:val="left" w:pos="3360"/>
        <w:tab w:val="left" w:pos="3840"/>
        <w:tab w:val="left" w:pos="4320"/>
      </w:tabs>
    </w:pPr>
    <w:rPr>
      <w:sz w:val="24"/>
      <w:lang w:val="en-AU"/>
    </w:rPr>
  </w:style>
  <w:style w:type="character" w:customStyle="1" w:styleId="MacroTextChar">
    <w:name w:val="Macro Text Char"/>
    <w:basedOn w:val="DefaultParagraphFont"/>
    <w:link w:val="MacroText"/>
    <w:semiHidden/>
    <w:rsid w:val="00B23994"/>
    <w:rPr>
      <w:sz w:val="24"/>
      <w:lang w:val="en-AU"/>
    </w:rPr>
  </w:style>
  <w:style w:type="paragraph" w:customStyle="1" w:styleId="Mainnumbers">
    <w:name w:val="Mainnumbers"/>
    <w:basedOn w:val="Normal"/>
    <w:rsid w:val="00B23994"/>
    <w:pPr>
      <w:tabs>
        <w:tab w:val="num" w:pos="1440"/>
      </w:tabs>
      <w:spacing w:before="0" w:after="0"/>
      <w:ind w:left="360" w:hanging="360"/>
    </w:pPr>
    <w:rPr>
      <w:szCs w:val="20"/>
      <w:lang w:val="en-AU"/>
    </w:rPr>
  </w:style>
  <w:style w:type="paragraph" w:styleId="MessageHeader">
    <w:name w:val="Message Header"/>
    <w:basedOn w:val="Normal"/>
    <w:link w:val="MessageHeaderChar"/>
    <w:semiHidden/>
    <w:rsid w:val="00B23994"/>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hAnsi="Arial"/>
      <w:sz w:val="26"/>
      <w:szCs w:val="20"/>
      <w:lang w:val="en-AU"/>
    </w:rPr>
  </w:style>
  <w:style w:type="character" w:customStyle="1" w:styleId="MessageHeaderChar">
    <w:name w:val="Message Header Char"/>
    <w:basedOn w:val="DefaultParagraphFont"/>
    <w:link w:val="MessageHeader"/>
    <w:semiHidden/>
    <w:rsid w:val="00B23994"/>
    <w:rPr>
      <w:rFonts w:ascii="Arial" w:hAnsi="Arial"/>
      <w:sz w:val="26"/>
      <w:shd w:val="pct20" w:color="auto" w:fill="auto"/>
      <w:lang w:val="en-AU"/>
    </w:rPr>
  </w:style>
  <w:style w:type="paragraph" w:customStyle="1" w:styleId="MiscClose">
    <w:name w:val="MiscClose"/>
    <w:basedOn w:val="Normal"/>
    <w:rsid w:val="00B23994"/>
    <w:pPr>
      <w:keepLines/>
      <w:tabs>
        <w:tab w:val="left" w:pos="893"/>
      </w:tabs>
      <w:spacing w:before="0" w:after="0" w:line="260" w:lineRule="atLeast"/>
      <w:jc w:val="right"/>
    </w:pPr>
    <w:rPr>
      <w:szCs w:val="20"/>
      <w:lang w:val="en-AU"/>
    </w:rPr>
  </w:style>
  <w:style w:type="paragraph" w:customStyle="1" w:styleId="MiscellaneousHeading">
    <w:name w:val="Miscellaneous Heading"/>
    <w:rsid w:val="00B23994"/>
    <w:pPr>
      <w:keepNext/>
      <w:spacing w:before="160" w:line="260" w:lineRule="atLeast"/>
      <w:jc w:val="center"/>
    </w:pPr>
    <w:rPr>
      <w:sz w:val="24"/>
      <w:lang w:val="en-AU"/>
    </w:rPr>
  </w:style>
  <w:style w:type="paragraph" w:customStyle="1" w:styleId="MiscellaneousBody">
    <w:name w:val="Miscellaneous Body"/>
    <w:basedOn w:val="MiscellaneousHeading"/>
    <w:rsid w:val="00B23994"/>
    <w:pPr>
      <w:keepNext w:val="0"/>
      <w:jc w:val="left"/>
    </w:pPr>
  </w:style>
  <w:style w:type="paragraph" w:customStyle="1" w:styleId="MiscellaneousFootnotes">
    <w:name w:val="Miscellaneous Footnotes"/>
    <w:basedOn w:val="MiscellaneousBody"/>
    <w:rsid w:val="00B23994"/>
  </w:style>
  <w:style w:type="paragraph" w:customStyle="1" w:styleId="MiscOpen">
    <w:name w:val="MiscOpen"/>
    <w:rsid w:val="00B23994"/>
    <w:pPr>
      <w:keepNext/>
      <w:keepLines/>
      <w:tabs>
        <w:tab w:val="left" w:pos="893"/>
      </w:tabs>
      <w:spacing w:before="120" w:line="260" w:lineRule="atLeast"/>
    </w:pPr>
    <w:rPr>
      <w:sz w:val="24"/>
      <w:lang w:val="en-AU"/>
    </w:rPr>
  </w:style>
  <w:style w:type="paragraph" w:customStyle="1" w:styleId="NameofActRegPage1">
    <w:name w:val="Name of Act/Reg(Page 1)"/>
    <w:basedOn w:val="NameofActReg"/>
    <w:rsid w:val="00B23994"/>
    <w:pPr>
      <w:spacing w:before="0" w:after="720"/>
    </w:pPr>
  </w:style>
  <w:style w:type="paragraph" w:customStyle="1" w:styleId="nDefpara">
    <w:name w:val="nDefpara"/>
    <w:basedOn w:val="Defpara"/>
    <w:rsid w:val="00B23994"/>
    <w:pPr>
      <w:tabs>
        <w:tab w:val="clear" w:pos="1332"/>
        <w:tab w:val="right" w:pos="1616"/>
        <w:tab w:val="left" w:pos="1899"/>
      </w:tabs>
      <w:spacing w:before="40" w:line="240" w:lineRule="auto"/>
      <w:ind w:left="1899" w:hanging="1899"/>
    </w:pPr>
    <w:rPr>
      <w:sz w:val="20"/>
      <w:lang w:eastAsia="en-US"/>
    </w:rPr>
  </w:style>
  <w:style w:type="paragraph" w:customStyle="1" w:styleId="nDefstart">
    <w:name w:val="nDefstart"/>
    <w:basedOn w:val="Defstart"/>
    <w:rsid w:val="00B23994"/>
    <w:pPr>
      <w:tabs>
        <w:tab w:val="left" w:pos="879"/>
      </w:tabs>
      <w:spacing w:before="40" w:line="240" w:lineRule="auto"/>
      <w:ind w:left="1332" w:hanging="1332"/>
    </w:pPr>
    <w:rPr>
      <w:sz w:val="20"/>
      <w:lang w:eastAsia="en-US"/>
    </w:rPr>
  </w:style>
  <w:style w:type="paragraph" w:customStyle="1" w:styleId="nDefsubpara">
    <w:name w:val="nDefsubpara"/>
    <w:basedOn w:val="Defsubpara"/>
    <w:rsid w:val="00B23994"/>
    <w:pPr>
      <w:spacing w:before="40" w:line="240" w:lineRule="auto"/>
    </w:pPr>
    <w:rPr>
      <w:sz w:val="20"/>
    </w:rPr>
  </w:style>
  <w:style w:type="paragraph" w:customStyle="1" w:styleId="nEdnoteitem">
    <w:name w:val="nEdnote(item)"/>
    <w:basedOn w:val="Ednoteitem"/>
    <w:rsid w:val="00B23994"/>
    <w:pPr>
      <w:spacing w:before="60" w:line="240" w:lineRule="auto"/>
    </w:pPr>
    <w:rPr>
      <w:sz w:val="20"/>
    </w:rPr>
  </w:style>
  <w:style w:type="paragraph" w:customStyle="1" w:styleId="nEdnotepara">
    <w:name w:val="nEdnote(para)"/>
    <w:basedOn w:val="Ednotepara"/>
    <w:rsid w:val="00B23994"/>
    <w:pPr>
      <w:spacing w:before="60" w:line="240" w:lineRule="auto"/>
      <w:ind w:left="1610" w:hanging="1610"/>
    </w:pPr>
    <w:rPr>
      <w:sz w:val="20"/>
    </w:rPr>
  </w:style>
  <w:style w:type="paragraph" w:customStyle="1" w:styleId="nEdnotesection">
    <w:name w:val="nEdnote(section)"/>
    <w:basedOn w:val="Ednotesection"/>
    <w:rsid w:val="00B23994"/>
    <w:pPr>
      <w:spacing w:before="100" w:line="240" w:lineRule="auto"/>
      <w:ind w:left="890" w:hanging="890"/>
      <w:outlineLvl w:val="9"/>
    </w:pPr>
    <w:rPr>
      <w:sz w:val="20"/>
    </w:rPr>
  </w:style>
  <w:style w:type="paragraph" w:customStyle="1" w:styleId="nEdnotesubpara">
    <w:name w:val="nEdnote(subpara)"/>
    <w:basedOn w:val="Ednotesubpara"/>
    <w:rsid w:val="00B23994"/>
    <w:pPr>
      <w:spacing w:line="240" w:lineRule="auto"/>
    </w:pPr>
    <w:rPr>
      <w:sz w:val="20"/>
    </w:rPr>
  </w:style>
  <w:style w:type="paragraph" w:customStyle="1" w:styleId="nHeading2">
    <w:name w:val="nHeading 2"/>
    <w:basedOn w:val="Heading2"/>
    <w:rsid w:val="00B23994"/>
    <w:pPr>
      <w:spacing w:after="0"/>
    </w:pPr>
    <w:rPr>
      <w:i w:val="0"/>
      <w:iCs w:val="0"/>
      <w:sz w:val="26"/>
      <w:szCs w:val="24"/>
      <w:lang w:val="en-AU"/>
    </w:rPr>
  </w:style>
  <w:style w:type="paragraph" w:customStyle="1" w:styleId="nHeading3">
    <w:name w:val="nHeading 3"/>
    <w:basedOn w:val="Heading3"/>
    <w:rsid w:val="00B23994"/>
    <w:pPr>
      <w:spacing w:line="240" w:lineRule="auto"/>
      <w:ind w:left="0"/>
      <w:jc w:val="center"/>
      <w:outlineLvl w:val="3"/>
    </w:pPr>
    <w:rPr>
      <w:rFonts w:ascii="Times New Roman" w:hAnsi="Times New Roman" w:cs="Times New Roman"/>
      <w:bCs w:val="0"/>
      <w:sz w:val="24"/>
      <w:szCs w:val="20"/>
      <w:lang w:val="en-AU"/>
    </w:rPr>
  </w:style>
  <w:style w:type="paragraph" w:customStyle="1" w:styleId="nHeading4">
    <w:name w:val="nHeading 4"/>
    <w:basedOn w:val="Heading4"/>
    <w:rsid w:val="00B23994"/>
    <w:pPr>
      <w:keepLines w:val="0"/>
      <w:spacing w:before="120" w:after="0"/>
      <w:ind w:left="0"/>
      <w:jc w:val="center"/>
      <w:outlineLvl w:val="9"/>
    </w:pPr>
    <w:rPr>
      <w:rFonts w:ascii="Times New Roman" w:eastAsia="Times New Roman" w:hAnsi="Times New Roman" w:cs="Times New Roman"/>
      <w:bCs w:val="0"/>
      <w:i w:val="0"/>
      <w:iCs w:val="0"/>
      <w:sz w:val="20"/>
      <w:szCs w:val="20"/>
      <w:lang w:val="en-AU"/>
    </w:rPr>
  </w:style>
  <w:style w:type="paragraph" w:customStyle="1" w:styleId="nHeading5">
    <w:name w:val="nHeading 5"/>
    <w:basedOn w:val="Heading5"/>
    <w:rsid w:val="00B23994"/>
    <w:pPr>
      <w:tabs>
        <w:tab w:val="left" w:pos="879"/>
      </w:tabs>
      <w:spacing w:before="100" w:after="0"/>
      <w:ind w:left="879" w:hanging="879"/>
      <w:outlineLvl w:val="9"/>
    </w:pPr>
    <w:rPr>
      <w:rFonts w:ascii="Times New Roman" w:eastAsia="Times New Roman" w:hAnsi="Times New Roman" w:cs="Times New Roman"/>
      <w:b/>
      <w:i w:val="0"/>
      <w:sz w:val="20"/>
      <w:szCs w:val="20"/>
      <w:lang w:val="en-AU"/>
    </w:rPr>
  </w:style>
  <w:style w:type="paragraph" w:customStyle="1" w:styleId="nIndenta">
    <w:name w:val="nIndent(a)"/>
    <w:basedOn w:val="Indenta"/>
    <w:rsid w:val="00B23994"/>
    <w:pPr>
      <w:spacing w:before="40" w:line="240" w:lineRule="auto"/>
    </w:pPr>
    <w:rPr>
      <w:sz w:val="20"/>
    </w:rPr>
  </w:style>
  <w:style w:type="paragraph" w:customStyle="1" w:styleId="nIndentA0">
    <w:name w:val="nIndent(A)"/>
    <w:basedOn w:val="IndentA0"/>
    <w:rsid w:val="00B23994"/>
    <w:pPr>
      <w:spacing w:before="40" w:line="240" w:lineRule="auto"/>
    </w:pPr>
    <w:rPr>
      <w:sz w:val="20"/>
    </w:rPr>
  </w:style>
  <w:style w:type="paragraph" w:customStyle="1" w:styleId="nIndenti">
    <w:name w:val="nIndent(i)"/>
    <w:basedOn w:val="Indenti"/>
    <w:rsid w:val="00B23994"/>
    <w:pPr>
      <w:spacing w:before="40" w:line="240" w:lineRule="auto"/>
    </w:pPr>
    <w:rPr>
      <w:sz w:val="20"/>
    </w:rPr>
  </w:style>
  <w:style w:type="paragraph" w:customStyle="1" w:styleId="nIndentI0">
    <w:name w:val="nIndent(I)"/>
    <w:basedOn w:val="IndentI0"/>
    <w:rsid w:val="00B23994"/>
    <w:pPr>
      <w:spacing w:before="40" w:line="240" w:lineRule="auto"/>
    </w:pPr>
    <w:rPr>
      <w:sz w:val="20"/>
    </w:rPr>
  </w:style>
  <w:style w:type="paragraph" w:styleId="NormalIndent">
    <w:name w:val="Normal Indent"/>
    <w:basedOn w:val="Normal"/>
    <w:semiHidden/>
    <w:rsid w:val="00B23994"/>
    <w:pPr>
      <w:spacing w:before="0" w:after="0"/>
      <w:ind w:left="720"/>
    </w:pPr>
    <w:rPr>
      <w:szCs w:val="20"/>
      <w:lang w:val="en-AU"/>
    </w:rPr>
  </w:style>
  <w:style w:type="paragraph" w:styleId="NoteHeading">
    <w:name w:val="Note Heading"/>
    <w:basedOn w:val="Normal"/>
    <w:next w:val="Normal"/>
    <w:link w:val="NoteHeadingChar"/>
    <w:semiHidden/>
    <w:rsid w:val="00B23994"/>
    <w:pPr>
      <w:spacing w:before="0" w:after="0"/>
    </w:pPr>
    <w:rPr>
      <w:szCs w:val="20"/>
      <w:lang w:val="en-AU"/>
    </w:rPr>
  </w:style>
  <w:style w:type="character" w:customStyle="1" w:styleId="NoteHeadingChar">
    <w:name w:val="Note Heading Char"/>
    <w:basedOn w:val="DefaultParagraphFont"/>
    <w:link w:val="NoteHeading"/>
    <w:semiHidden/>
    <w:rsid w:val="00B23994"/>
    <w:rPr>
      <w:sz w:val="24"/>
      <w:lang w:val="en-AU"/>
    </w:rPr>
  </w:style>
  <w:style w:type="paragraph" w:customStyle="1" w:styleId="Penpara">
    <w:name w:val="Penpara"/>
    <w:rsid w:val="00B23994"/>
    <w:pPr>
      <w:tabs>
        <w:tab w:val="right" w:pos="1616"/>
        <w:tab w:val="left" w:pos="1899"/>
      </w:tabs>
      <w:spacing w:before="80" w:line="260" w:lineRule="atLeast"/>
      <w:ind w:left="1899" w:hanging="1899"/>
    </w:pPr>
    <w:rPr>
      <w:sz w:val="24"/>
      <w:lang w:val="en-AU"/>
    </w:rPr>
  </w:style>
  <w:style w:type="paragraph" w:customStyle="1" w:styleId="nPenpara">
    <w:name w:val="nPenpara"/>
    <w:basedOn w:val="Penpara"/>
    <w:rsid w:val="00B23994"/>
    <w:pPr>
      <w:spacing w:before="40" w:line="240" w:lineRule="auto"/>
    </w:pPr>
    <w:rPr>
      <w:sz w:val="20"/>
    </w:rPr>
  </w:style>
  <w:style w:type="paragraph" w:customStyle="1" w:styleId="Penstart">
    <w:name w:val="Penstart"/>
    <w:basedOn w:val="Normal"/>
    <w:rsid w:val="00B23994"/>
    <w:pPr>
      <w:tabs>
        <w:tab w:val="left" w:pos="879"/>
      </w:tabs>
      <w:spacing w:before="80" w:after="0" w:line="260" w:lineRule="atLeast"/>
      <w:ind w:left="1332" w:hanging="1332"/>
    </w:pPr>
    <w:rPr>
      <w:szCs w:val="20"/>
      <w:lang w:val="en-AU"/>
    </w:rPr>
  </w:style>
  <w:style w:type="paragraph" w:customStyle="1" w:styleId="nPenstart">
    <w:name w:val="nPenstart"/>
    <w:basedOn w:val="Penstart"/>
    <w:rsid w:val="00B23994"/>
    <w:pPr>
      <w:spacing w:before="40" w:line="240" w:lineRule="auto"/>
    </w:pPr>
    <w:rPr>
      <w:sz w:val="20"/>
    </w:rPr>
  </w:style>
  <w:style w:type="paragraph" w:customStyle="1" w:styleId="nSubsection">
    <w:name w:val="nSubsection"/>
    <w:basedOn w:val="Subsection0"/>
    <w:rsid w:val="00B23994"/>
    <w:pPr>
      <w:tabs>
        <w:tab w:val="clear" w:pos="595"/>
        <w:tab w:val="clear" w:pos="879"/>
        <w:tab w:val="left" w:pos="454"/>
      </w:tabs>
      <w:spacing w:before="80" w:line="240" w:lineRule="auto"/>
      <w:ind w:left="454" w:hanging="454"/>
    </w:pPr>
    <w:rPr>
      <w:sz w:val="20"/>
      <w:lang w:eastAsia="en-US"/>
    </w:rPr>
  </w:style>
  <w:style w:type="paragraph" w:customStyle="1" w:styleId="nTable">
    <w:name w:val="nTable"/>
    <w:basedOn w:val="Table"/>
    <w:rsid w:val="00B23994"/>
    <w:pPr>
      <w:spacing w:before="40" w:line="240" w:lineRule="auto"/>
    </w:pPr>
    <w:rPr>
      <w:sz w:val="18"/>
    </w:rPr>
  </w:style>
  <w:style w:type="paragraph" w:customStyle="1" w:styleId="zDefpara">
    <w:name w:val="zDefpara"/>
    <w:basedOn w:val="Normal"/>
    <w:rsid w:val="00B23994"/>
    <w:pPr>
      <w:tabs>
        <w:tab w:val="right" w:pos="2155"/>
        <w:tab w:val="left" w:pos="2438"/>
      </w:tabs>
      <w:spacing w:before="80" w:after="0" w:line="260" w:lineRule="atLeast"/>
      <w:ind w:left="2438" w:right="284" w:hanging="1106"/>
    </w:pPr>
    <w:rPr>
      <w:snapToGrid w:val="0"/>
      <w:szCs w:val="20"/>
      <w:lang w:val="en-AU"/>
    </w:rPr>
  </w:style>
  <w:style w:type="paragraph" w:customStyle="1" w:styleId="nzDefpara">
    <w:name w:val="nzDefpara"/>
    <w:basedOn w:val="zDefpara"/>
    <w:rsid w:val="00B23994"/>
    <w:pPr>
      <w:spacing w:before="40" w:line="240" w:lineRule="auto"/>
    </w:pPr>
    <w:rPr>
      <w:sz w:val="20"/>
    </w:rPr>
  </w:style>
  <w:style w:type="paragraph" w:customStyle="1" w:styleId="zDefstart">
    <w:name w:val="zDefstart"/>
    <w:basedOn w:val="Normal"/>
    <w:rsid w:val="00B23994"/>
    <w:pPr>
      <w:tabs>
        <w:tab w:val="left" w:pos="1446"/>
      </w:tabs>
      <w:spacing w:before="80" w:after="0" w:line="260" w:lineRule="atLeast"/>
      <w:ind w:left="1882" w:right="284" w:hanging="748"/>
    </w:pPr>
    <w:rPr>
      <w:snapToGrid w:val="0"/>
      <w:szCs w:val="20"/>
      <w:lang w:val="en-AU"/>
    </w:rPr>
  </w:style>
  <w:style w:type="paragraph" w:customStyle="1" w:styleId="nzDefstart">
    <w:name w:val="nzDefstart"/>
    <w:basedOn w:val="zDefstart"/>
    <w:rsid w:val="00B23994"/>
    <w:pPr>
      <w:spacing w:before="40" w:line="240" w:lineRule="auto"/>
    </w:pPr>
    <w:rPr>
      <w:sz w:val="20"/>
    </w:rPr>
  </w:style>
  <w:style w:type="paragraph" w:customStyle="1" w:styleId="zDefsubpara">
    <w:name w:val="zDefsubpara"/>
    <w:basedOn w:val="Normal"/>
    <w:rsid w:val="00B23994"/>
    <w:pPr>
      <w:keepLines/>
      <w:tabs>
        <w:tab w:val="right" w:pos="2835"/>
        <w:tab w:val="left" w:pos="3119"/>
      </w:tabs>
      <w:spacing w:before="80" w:after="0" w:line="260" w:lineRule="atLeast"/>
      <w:ind w:left="3118" w:right="284" w:hanging="1077"/>
    </w:pPr>
    <w:rPr>
      <w:szCs w:val="20"/>
      <w:lang w:val="en-AU"/>
    </w:rPr>
  </w:style>
  <w:style w:type="paragraph" w:customStyle="1" w:styleId="nzDefsubpara">
    <w:name w:val="nzDefsubpara"/>
    <w:basedOn w:val="zDefsubpara"/>
    <w:rsid w:val="00B23994"/>
    <w:pPr>
      <w:spacing w:before="40" w:line="240" w:lineRule="auto"/>
    </w:pPr>
    <w:rPr>
      <w:sz w:val="20"/>
    </w:rPr>
  </w:style>
  <w:style w:type="paragraph" w:customStyle="1" w:styleId="zHeading2">
    <w:name w:val="zHeading 2"/>
    <w:basedOn w:val="Heading2"/>
    <w:rsid w:val="00B23994"/>
    <w:pPr>
      <w:spacing w:after="0" w:line="240" w:lineRule="atLeast"/>
      <w:ind w:right="284"/>
      <w:outlineLvl w:val="9"/>
    </w:pPr>
    <w:rPr>
      <w:i w:val="0"/>
      <w:iCs w:val="0"/>
      <w:sz w:val="26"/>
      <w:szCs w:val="24"/>
      <w:lang w:val="en-AU"/>
    </w:rPr>
  </w:style>
  <w:style w:type="paragraph" w:customStyle="1" w:styleId="nzHeading2">
    <w:name w:val="nzHeading 2"/>
    <w:basedOn w:val="zHeading2"/>
    <w:rsid w:val="00B23994"/>
    <w:pPr>
      <w:spacing w:before="120" w:line="240" w:lineRule="auto"/>
    </w:pPr>
  </w:style>
  <w:style w:type="paragraph" w:customStyle="1" w:styleId="zHeading3">
    <w:name w:val="zHeading 3"/>
    <w:basedOn w:val="Heading3"/>
    <w:rsid w:val="00B23994"/>
    <w:pPr>
      <w:spacing w:after="0" w:line="260" w:lineRule="atLeast"/>
      <w:ind w:left="567" w:right="284"/>
      <w:jc w:val="center"/>
      <w:outlineLvl w:val="9"/>
    </w:pPr>
    <w:rPr>
      <w:rFonts w:ascii="Times New Roman" w:hAnsi="Times New Roman" w:cs="Times New Roman"/>
      <w:bCs w:val="0"/>
      <w:sz w:val="26"/>
      <w:szCs w:val="20"/>
      <w:lang w:val="en-AU"/>
    </w:rPr>
  </w:style>
  <w:style w:type="paragraph" w:customStyle="1" w:styleId="nzHeading3">
    <w:name w:val="nzHeading 3"/>
    <w:basedOn w:val="zHeading3"/>
    <w:rsid w:val="00B23994"/>
    <w:pPr>
      <w:spacing w:before="120" w:line="240" w:lineRule="auto"/>
    </w:pPr>
    <w:rPr>
      <w:sz w:val="22"/>
    </w:rPr>
  </w:style>
  <w:style w:type="paragraph" w:customStyle="1" w:styleId="zHeading4">
    <w:name w:val="zHeading 4"/>
    <w:basedOn w:val="Heading4"/>
    <w:rsid w:val="00B23994"/>
    <w:pPr>
      <w:keepLines w:val="0"/>
      <w:spacing w:after="0"/>
      <w:ind w:left="567" w:right="284"/>
      <w:jc w:val="center"/>
      <w:outlineLvl w:val="9"/>
    </w:pPr>
    <w:rPr>
      <w:rFonts w:ascii="Times New Roman" w:eastAsia="Times New Roman" w:hAnsi="Times New Roman" w:cs="Times New Roman"/>
      <w:bCs w:val="0"/>
      <w:i w:val="0"/>
      <w:iCs w:val="0"/>
      <w:sz w:val="24"/>
      <w:szCs w:val="20"/>
      <w:lang w:val="en-AU"/>
    </w:rPr>
  </w:style>
  <w:style w:type="paragraph" w:customStyle="1" w:styleId="nzHeading4">
    <w:name w:val="nzHeading 4"/>
    <w:basedOn w:val="zHeading4"/>
    <w:rsid w:val="00B23994"/>
    <w:pPr>
      <w:spacing w:before="120"/>
    </w:pPr>
    <w:rPr>
      <w:sz w:val="20"/>
    </w:rPr>
  </w:style>
  <w:style w:type="paragraph" w:customStyle="1" w:styleId="zHeading5">
    <w:name w:val="zHeading 5"/>
    <w:basedOn w:val="Heading5"/>
    <w:rsid w:val="00B23994"/>
    <w:pPr>
      <w:tabs>
        <w:tab w:val="left" w:pos="1446"/>
      </w:tabs>
      <w:spacing w:before="220" w:after="0" w:line="260" w:lineRule="atLeast"/>
      <w:ind w:left="1446" w:right="284" w:hanging="879"/>
      <w:outlineLvl w:val="9"/>
    </w:pPr>
    <w:rPr>
      <w:rFonts w:ascii="Times New Roman" w:eastAsia="Times New Roman" w:hAnsi="Times New Roman" w:cs="Times New Roman"/>
      <w:b/>
      <w:i w:val="0"/>
      <w:sz w:val="24"/>
      <w:szCs w:val="20"/>
      <w:lang w:val="en-AU"/>
    </w:rPr>
  </w:style>
  <w:style w:type="paragraph" w:customStyle="1" w:styleId="nzHeading5">
    <w:name w:val="nzHeading 5"/>
    <w:basedOn w:val="zHeading5"/>
    <w:rsid w:val="00B23994"/>
    <w:pPr>
      <w:spacing w:before="100" w:line="240" w:lineRule="auto"/>
    </w:pPr>
    <w:rPr>
      <w:sz w:val="20"/>
    </w:rPr>
  </w:style>
  <w:style w:type="paragraph" w:customStyle="1" w:styleId="zIndenta">
    <w:name w:val="zIndent(a)"/>
    <w:basedOn w:val="Normal"/>
    <w:rsid w:val="00B23994"/>
    <w:pPr>
      <w:tabs>
        <w:tab w:val="right" w:pos="1899"/>
        <w:tab w:val="left" w:pos="2183"/>
      </w:tabs>
      <w:spacing w:before="80" w:after="0" w:line="260" w:lineRule="atLeast"/>
      <w:ind w:left="2183" w:right="284" w:hanging="851"/>
    </w:pPr>
    <w:rPr>
      <w:szCs w:val="20"/>
      <w:lang w:val="en-AU"/>
    </w:rPr>
  </w:style>
  <w:style w:type="paragraph" w:customStyle="1" w:styleId="nzIndenta">
    <w:name w:val="nzIndent(a)"/>
    <w:basedOn w:val="zIndenta"/>
    <w:rsid w:val="00B23994"/>
    <w:pPr>
      <w:spacing w:before="40" w:line="240" w:lineRule="auto"/>
    </w:pPr>
    <w:rPr>
      <w:sz w:val="20"/>
    </w:rPr>
  </w:style>
  <w:style w:type="paragraph" w:customStyle="1" w:styleId="zIndentA0">
    <w:name w:val="zIndent(A)"/>
    <w:basedOn w:val="Normal"/>
    <w:rsid w:val="00B23994"/>
    <w:pPr>
      <w:tabs>
        <w:tab w:val="right" w:pos="4253"/>
        <w:tab w:val="left" w:pos="4536"/>
      </w:tabs>
      <w:spacing w:before="80" w:after="0" w:line="260" w:lineRule="atLeast"/>
      <w:ind w:left="4537" w:right="284" w:hanging="851"/>
    </w:pPr>
    <w:rPr>
      <w:szCs w:val="20"/>
      <w:lang w:val="en-AU"/>
    </w:rPr>
  </w:style>
  <w:style w:type="paragraph" w:customStyle="1" w:styleId="nzIndentA0">
    <w:name w:val="nzIndent(A)"/>
    <w:basedOn w:val="zIndentA0"/>
    <w:rsid w:val="00B23994"/>
    <w:pPr>
      <w:spacing w:before="40" w:line="240" w:lineRule="auto"/>
    </w:pPr>
    <w:rPr>
      <w:sz w:val="20"/>
    </w:rPr>
  </w:style>
  <w:style w:type="paragraph" w:customStyle="1" w:styleId="zIndenti">
    <w:name w:val="zIndent(i)"/>
    <w:basedOn w:val="Normal"/>
    <w:rsid w:val="00B23994"/>
    <w:pPr>
      <w:tabs>
        <w:tab w:val="right" w:pos="2608"/>
        <w:tab w:val="left" w:pos="2892"/>
      </w:tabs>
      <w:spacing w:before="80" w:after="0" w:line="260" w:lineRule="atLeast"/>
      <w:ind w:left="2892" w:right="284" w:hanging="851"/>
    </w:pPr>
    <w:rPr>
      <w:szCs w:val="20"/>
      <w:lang w:val="en-AU"/>
    </w:rPr>
  </w:style>
  <w:style w:type="paragraph" w:customStyle="1" w:styleId="nzIndenti">
    <w:name w:val="nzIndent(i)"/>
    <w:basedOn w:val="zIndenti"/>
    <w:rsid w:val="00B23994"/>
    <w:pPr>
      <w:spacing w:before="40" w:line="240" w:lineRule="auto"/>
    </w:pPr>
    <w:rPr>
      <w:sz w:val="20"/>
    </w:rPr>
  </w:style>
  <w:style w:type="paragraph" w:customStyle="1" w:styleId="zIndentI0">
    <w:name w:val="zIndent(I)"/>
    <w:basedOn w:val="Normal"/>
    <w:rsid w:val="00B23994"/>
    <w:pPr>
      <w:tabs>
        <w:tab w:val="right" w:pos="3459"/>
        <w:tab w:val="left" w:pos="3771"/>
      </w:tabs>
      <w:spacing w:before="80" w:after="0" w:line="260" w:lineRule="atLeast"/>
      <w:ind w:left="3743" w:right="284" w:hanging="851"/>
    </w:pPr>
    <w:rPr>
      <w:szCs w:val="20"/>
      <w:lang w:val="en-AU"/>
    </w:rPr>
  </w:style>
  <w:style w:type="paragraph" w:customStyle="1" w:styleId="nzIndentI0">
    <w:name w:val="nzIndent(I)"/>
    <w:basedOn w:val="zIndentI0"/>
    <w:rsid w:val="00B23994"/>
    <w:pPr>
      <w:spacing w:before="40" w:line="240" w:lineRule="auto"/>
    </w:pPr>
    <w:rPr>
      <w:sz w:val="20"/>
    </w:rPr>
  </w:style>
  <w:style w:type="paragraph" w:customStyle="1" w:styleId="zPenpara">
    <w:name w:val="zPenpara"/>
    <w:basedOn w:val="Normal"/>
    <w:rsid w:val="00B23994"/>
    <w:pPr>
      <w:tabs>
        <w:tab w:val="right" w:pos="2155"/>
        <w:tab w:val="left" w:pos="2438"/>
      </w:tabs>
      <w:spacing w:before="80" w:after="0" w:line="260" w:lineRule="atLeast"/>
      <w:ind w:left="2552" w:right="284" w:hanging="2183"/>
    </w:pPr>
    <w:rPr>
      <w:szCs w:val="20"/>
      <w:lang w:val="en-AU"/>
    </w:rPr>
  </w:style>
  <w:style w:type="paragraph" w:customStyle="1" w:styleId="nzPenpara">
    <w:name w:val="nzPenpara"/>
    <w:basedOn w:val="zPenpara"/>
    <w:rsid w:val="00B23994"/>
    <w:pPr>
      <w:spacing w:before="40" w:line="240" w:lineRule="auto"/>
    </w:pPr>
    <w:rPr>
      <w:sz w:val="20"/>
    </w:rPr>
  </w:style>
  <w:style w:type="paragraph" w:customStyle="1" w:styleId="zPenstart">
    <w:name w:val="zPenstart"/>
    <w:basedOn w:val="Normal"/>
    <w:rsid w:val="00B23994"/>
    <w:pPr>
      <w:tabs>
        <w:tab w:val="left" w:pos="1446"/>
      </w:tabs>
      <w:spacing w:before="80" w:after="0" w:line="260" w:lineRule="atLeast"/>
      <w:ind w:left="1843" w:right="284" w:hanging="1021"/>
    </w:pPr>
    <w:rPr>
      <w:szCs w:val="20"/>
      <w:lang w:val="en-AU"/>
    </w:rPr>
  </w:style>
  <w:style w:type="paragraph" w:customStyle="1" w:styleId="nzPenstart">
    <w:name w:val="nzPenstart"/>
    <w:basedOn w:val="zPenstart"/>
    <w:rsid w:val="00B23994"/>
    <w:pPr>
      <w:spacing w:before="40" w:line="240" w:lineRule="auto"/>
    </w:pPr>
    <w:rPr>
      <w:sz w:val="20"/>
    </w:rPr>
  </w:style>
  <w:style w:type="paragraph" w:customStyle="1" w:styleId="zSubsection">
    <w:name w:val="zSubsection"/>
    <w:basedOn w:val="Normal"/>
    <w:rsid w:val="00B23994"/>
    <w:pPr>
      <w:tabs>
        <w:tab w:val="right" w:pos="1162"/>
        <w:tab w:val="left" w:pos="1446"/>
      </w:tabs>
      <w:spacing w:before="160" w:after="0" w:line="260" w:lineRule="atLeast"/>
      <w:ind w:left="1446" w:right="284" w:hanging="851"/>
    </w:pPr>
    <w:rPr>
      <w:szCs w:val="20"/>
      <w:lang w:val="en-AU"/>
    </w:rPr>
  </w:style>
  <w:style w:type="paragraph" w:customStyle="1" w:styleId="nzSubsection">
    <w:name w:val="nzSubsection"/>
    <w:basedOn w:val="zSubsection"/>
    <w:rsid w:val="00B23994"/>
    <w:pPr>
      <w:spacing w:before="80" w:line="240" w:lineRule="auto"/>
    </w:pPr>
    <w:rPr>
      <w:sz w:val="20"/>
    </w:rPr>
  </w:style>
  <w:style w:type="paragraph" w:customStyle="1" w:styleId="nzTable">
    <w:name w:val="nzTable"/>
    <w:basedOn w:val="Normal"/>
    <w:rsid w:val="00B23994"/>
    <w:pPr>
      <w:spacing w:before="0" w:after="0"/>
    </w:pPr>
    <w:rPr>
      <w:sz w:val="20"/>
      <w:szCs w:val="20"/>
      <w:lang w:val="en-AU"/>
    </w:rPr>
  </w:style>
  <w:style w:type="paragraph" w:customStyle="1" w:styleId="PenaltyNumbers">
    <w:name w:val="PenaltyNumbers"/>
    <w:basedOn w:val="Normal"/>
    <w:rsid w:val="00B23994"/>
    <w:pPr>
      <w:spacing w:before="0" w:after="0" w:line="260" w:lineRule="atLeast"/>
    </w:pPr>
    <w:rPr>
      <w:rFonts w:ascii="NewCenturySchlbk" w:hAnsi="NewCenturySchlbk"/>
      <w:szCs w:val="20"/>
      <w:lang w:val="en-AU"/>
    </w:rPr>
  </w:style>
  <w:style w:type="paragraph" w:customStyle="1" w:styleId="Penitem">
    <w:name w:val="Penitem"/>
    <w:rsid w:val="00B23994"/>
    <w:pPr>
      <w:tabs>
        <w:tab w:val="right" w:pos="3119"/>
        <w:tab w:val="left" w:pos="3402"/>
      </w:tabs>
      <w:spacing w:before="80" w:line="260" w:lineRule="atLeast"/>
      <w:ind w:left="3402" w:hanging="3402"/>
    </w:pPr>
    <w:rPr>
      <w:sz w:val="24"/>
      <w:lang w:val="en-AU"/>
    </w:rPr>
  </w:style>
  <w:style w:type="paragraph" w:customStyle="1" w:styleId="Pensubpara">
    <w:name w:val="Pensubpara"/>
    <w:rsid w:val="00B23994"/>
    <w:pPr>
      <w:tabs>
        <w:tab w:val="right" w:pos="2325"/>
        <w:tab w:val="left" w:pos="2608"/>
      </w:tabs>
      <w:spacing w:before="80" w:line="260" w:lineRule="atLeast"/>
      <w:ind w:left="2608" w:hanging="2608"/>
    </w:pPr>
    <w:rPr>
      <w:sz w:val="24"/>
      <w:lang w:val="en-AU"/>
    </w:rPr>
  </w:style>
  <w:style w:type="paragraph" w:customStyle="1" w:styleId="Repealed">
    <w:name w:val="Repealed"/>
    <w:basedOn w:val="Heading5"/>
    <w:rsid w:val="00B23994"/>
    <w:pPr>
      <w:tabs>
        <w:tab w:val="left" w:pos="879"/>
      </w:tabs>
      <w:spacing w:before="220" w:after="0" w:line="260" w:lineRule="atLeast"/>
      <w:ind w:left="879" w:hanging="879"/>
    </w:pPr>
    <w:rPr>
      <w:rFonts w:ascii="Times New Roman" w:eastAsia="Times New Roman" w:hAnsi="Times New Roman" w:cs="Times New Roman"/>
      <w:sz w:val="24"/>
      <w:szCs w:val="20"/>
      <w:lang w:val="en-AU"/>
    </w:rPr>
  </w:style>
  <w:style w:type="paragraph" w:styleId="Salutation">
    <w:name w:val="Salutation"/>
    <w:basedOn w:val="Normal"/>
    <w:next w:val="Normal"/>
    <w:link w:val="SalutationChar"/>
    <w:semiHidden/>
    <w:rsid w:val="00B23994"/>
    <w:pPr>
      <w:spacing w:before="0" w:after="0"/>
    </w:pPr>
    <w:rPr>
      <w:szCs w:val="20"/>
      <w:lang w:val="en-AU"/>
    </w:rPr>
  </w:style>
  <w:style w:type="character" w:customStyle="1" w:styleId="SalutationChar">
    <w:name w:val="Salutation Char"/>
    <w:basedOn w:val="DefaultParagraphFont"/>
    <w:link w:val="Salutation"/>
    <w:semiHidden/>
    <w:rsid w:val="00B23994"/>
    <w:rPr>
      <w:sz w:val="24"/>
      <w:lang w:val="en-AU"/>
    </w:rPr>
  </w:style>
  <w:style w:type="paragraph" w:customStyle="1" w:styleId="SectionNumbers">
    <w:name w:val="SectionNumbers"/>
    <w:basedOn w:val="Normal"/>
    <w:rsid w:val="00B23994"/>
    <w:pPr>
      <w:tabs>
        <w:tab w:val="num" w:pos="0"/>
        <w:tab w:val="right" w:pos="1152"/>
      </w:tabs>
      <w:spacing w:before="0" w:after="0" w:line="260" w:lineRule="atLeast"/>
    </w:pPr>
    <w:rPr>
      <w:szCs w:val="20"/>
      <w:lang w:val="en-AU"/>
    </w:rPr>
  </w:style>
  <w:style w:type="paragraph" w:styleId="Signature">
    <w:name w:val="Signature"/>
    <w:basedOn w:val="Normal"/>
    <w:link w:val="SignatureChar"/>
    <w:semiHidden/>
    <w:rsid w:val="00B23994"/>
    <w:pPr>
      <w:spacing w:before="0" w:after="0"/>
      <w:ind w:left="4252"/>
    </w:pPr>
    <w:rPr>
      <w:szCs w:val="20"/>
      <w:lang w:val="en-AU"/>
    </w:rPr>
  </w:style>
  <w:style w:type="character" w:customStyle="1" w:styleId="SignatureChar">
    <w:name w:val="Signature Char"/>
    <w:basedOn w:val="DefaultParagraphFont"/>
    <w:link w:val="Signature"/>
    <w:semiHidden/>
    <w:rsid w:val="00B23994"/>
    <w:rPr>
      <w:sz w:val="24"/>
      <w:lang w:val="en-AU"/>
    </w:rPr>
  </w:style>
  <w:style w:type="paragraph" w:styleId="TableofAuthorities">
    <w:name w:val="table of authorities"/>
    <w:basedOn w:val="Normal"/>
    <w:next w:val="Normal"/>
    <w:semiHidden/>
    <w:rsid w:val="00B23994"/>
    <w:pPr>
      <w:spacing w:before="0" w:after="0"/>
      <w:ind w:left="220" w:hanging="220"/>
    </w:pPr>
    <w:rPr>
      <w:szCs w:val="20"/>
      <w:lang w:val="en-AU"/>
    </w:rPr>
  </w:style>
  <w:style w:type="paragraph" w:styleId="TableofFigures">
    <w:name w:val="table of figures"/>
    <w:basedOn w:val="Normal"/>
    <w:next w:val="Normal"/>
    <w:semiHidden/>
    <w:rsid w:val="00B23994"/>
    <w:pPr>
      <w:spacing w:before="0" w:after="0"/>
      <w:ind w:left="440" w:hanging="440"/>
    </w:pPr>
    <w:rPr>
      <w:szCs w:val="20"/>
      <w:lang w:val="en-AU"/>
    </w:rPr>
  </w:style>
  <w:style w:type="paragraph" w:styleId="TOAHeading">
    <w:name w:val="toa heading"/>
    <w:basedOn w:val="Normal"/>
    <w:next w:val="Normal"/>
    <w:semiHidden/>
    <w:rsid w:val="00B23994"/>
    <w:pPr>
      <w:spacing w:after="0"/>
    </w:pPr>
    <w:rPr>
      <w:rFonts w:ascii="Arial" w:hAnsi="Arial"/>
      <w:b/>
      <w:sz w:val="26"/>
      <w:szCs w:val="20"/>
      <w:lang w:val="en-AU"/>
    </w:rPr>
  </w:style>
  <w:style w:type="paragraph" w:customStyle="1" w:styleId="yDefitem">
    <w:name w:val="yDefitem"/>
    <w:basedOn w:val="Defitem"/>
    <w:rsid w:val="00B23994"/>
    <w:pPr>
      <w:spacing w:line="240" w:lineRule="auto"/>
    </w:pPr>
    <w:rPr>
      <w:sz w:val="22"/>
    </w:rPr>
  </w:style>
  <w:style w:type="paragraph" w:customStyle="1" w:styleId="yDefpara">
    <w:name w:val="yDefpara"/>
    <w:basedOn w:val="Defpara"/>
    <w:rsid w:val="00B23994"/>
    <w:pPr>
      <w:tabs>
        <w:tab w:val="clear" w:pos="1332"/>
        <w:tab w:val="right" w:pos="1616"/>
        <w:tab w:val="left" w:pos="1899"/>
      </w:tabs>
      <w:spacing w:line="240" w:lineRule="auto"/>
      <w:ind w:left="1899" w:hanging="1899"/>
    </w:pPr>
    <w:rPr>
      <w:sz w:val="22"/>
      <w:lang w:eastAsia="en-US"/>
    </w:rPr>
  </w:style>
  <w:style w:type="paragraph" w:customStyle="1" w:styleId="yDefstart">
    <w:name w:val="yDefstart"/>
    <w:basedOn w:val="Defstart"/>
    <w:rsid w:val="00B23994"/>
    <w:pPr>
      <w:tabs>
        <w:tab w:val="left" w:pos="879"/>
      </w:tabs>
      <w:spacing w:line="240" w:lineRule="auto"/>
      <w:ind w:left="1332" w:hanging="1332"/>
    </w:pPr>
    <w:rPr>
      <w:sz w:val="22"/>
      <w:lang w:eastAsia="en-US"/>
    </w:rPr>
  </w:style>
  <w:style w:type="paragraph" w:customStyle="1" w:styleId="yDefsubpara">
    <w:name w:val="yDefsubpara"/>
    <w:basedOn w:val="Defsubpara"/>
    <w:rsid w:val="00B23994"/>
    <w:pPr>
      <w:spacing w:line="240" w:lineRule="auto"/>
    </w:pPr>
    <w:rPr>
      <w:sz w:val="22"/>
    </w:rPr>
  </w:style>
  <w:style w:type="paragraph" w:customStyle="1" w:styleId="yEdnoteitem">
    <w:name w:val="yEdnote(item)"/>
    <w:basedOn w:val="Ednoteitem"/>
    <w:rsid w:val="00B23994"/>
    <w:pPr>
      <w:spacing w:line="240" w:lineRule="auto"/>
    </w:pPr>
    <w:rPr>
      <w:sz w:val="22"/>
    </w:rPr>
  </w:style>
  <w:style w:type="paragraph" w:customStyle="1" w:styleId="yEdnotepara">
    <w:name w:val="yEdnote(para)"/>
    <w:basedOn w:val="Ednotepara"/>
    <w:rsid w:val="00B23994"/>
    <w:pPr>
      <w:spacing w:before="80" w:line="240" w:lineRule="auto"/>
      <w:ind w:left="1610" w:hanging="1610"/>
    </w:pPr>
    <w:rPr>
      <w:sz w:val="22"/>
    </w:rPr>
  </w:style>
  <w:style w:type="paragraph" w:customStyle="1" w:styleId="yEdnotesection">
    <w:name w:val="yEdnote(section)"/>
    <w:basedOn w:val="Ednotesection"/>
    <w:rsid w:val="00B23994"/>
    <w:pPr>
      <w:spacing w:line="240" w:lineRule="auto"/>
      <w:ind w:left="890" w:hanging="890"/>
    </w:pPr>
    <w:rPr>
      <w:sz w:val="22"/>
    </w:rPr>
  </w:style>
  <w:style w:type="paragraph" w:customStyle="1" w:styleId="yEdnotesubitem">
    <w:name w:val="yEdnote(subitem)"/>
    <w:basedOn w:val="Ednotesubitem"/>
    <w:rsid w:val="00B23994"/>
    <w:pPr>
      <w:spacing w:line="240" w:lineRule="auto"/>
    </w:pPr>
    <w:rPr>
      <w:sz w:val="22"/>
    </w:rPr>
  </w:style>
  <w:style w:type="paragraph" w:customStyle="1" w:styleId="yEdnotesubpara">
    <w:name w:val="yEdnote(subpara)"/>
    <w:basedOn w:val="Ednotesubpara"/>
    <w:rsid w:val="00B23994"/>
    <w:pPr>
      <w:spacing w:line="240" w:lineRule="auto"/>
    </w:pPr>
    <w:rPr>
      <w:sz w:val="22"/>
    </w:rPr>
  </w:style>
  <w:style w:type="paragraph" w:customStyle="1" w:styleId="yFootnotesection">
    <w:name w:val="yFootnote(section)"/>
    <w:basedOn w:val="Footnotesection"/>
    <w:rsid w:val="00B23994"/>
    <w:pPr>
      <w:spacing w:line="240" w:lineRule="auto"/>
      <w:ind w:left="890" w:hanging="890"/>
    </w:pPr>
    <w:rPr>
      <w:sz w:val="22"/>
    </w:rPr>
  </w:style>
  <w:style w:type="paragraph" w:customStyle="1" w:styleId="yHeading1">
    <w:name w:val="yHeading 1"/>
    <w:basedOn w:val="Heading1"/>
    <w:rsid w:val="00B23994"/>
    <w:pPr>
      <w:spacing w:before="360" w:after="0"/>
      <w:jc w:val="left"/>
    </w:pPr>
    <w:rPr>
      <w:kern w:val="0"/>
      <w:lang w:val="en-AU"/>
    </w:rPr>
  </w:style>
  <w:style w:type="paragraph" w:customStyle="1" w:styleId="yHeading2">
    <w:name w:val="yHeading 2"/>
    <w:basedOn w:val="Heading2"/>
    <w:rsid w:val="00B23994"/>
    <w:pPr>
      <w:spacing w:after="0"/>
    </w:pPr>
    <w:rPr>
      <w:i w:val="0"/>
      <w:iCs w:val="0"/>
      <w:szCs w:val="24"/>
      <w:lang w:val="en-AU"/>
    </w:rPr>
  </w:style>
  <w:style w:type="paragraph" w:customStyle="1" w:styleId="yHeading3">
    <w:name w:val="yHeading 3"/>
    <w:basedOn w:val="Heading3"/>
    <w:rsid w:val="00B23994"/>
    <w:pPr>
      <w:spacing w:after="0" w:line="240" w:lineRule="auto"/>
      <w:ind w:left="0"/>
      <w:jc w:val="center"/>
    </w:pPr>
    <w:rPr>
      <w:rFonts w:ascii="Times New Roman" w:hAnsi="Times New Roman" w:cs="Times New Roman"/>
      <w:bCs w:val="0"/>
      <w:sz w:val="24"/>
      <w:szCs w:val="20"/>
      <w:lang w:val="en-AU"/>
    </w:rPr>
  </w:style>
  <w:style w:type="paragraph" w:customStyle="1" w:styleId="yHeading4">
    <w:name w:val="yHeading 4"/>
    <w:basedOn w:val="Heading4"/>
    <w:rsid w:val="00B23994"/>
    <w:pPr>
      <w:keepLines w:val="0"/>
      <w:spacing w:after="0"/>
      <w:ind w:left="0"/>
      <w:jc w:val="center"/>
    </w:pPr>
    <w:rPr>
      <w:rFonts w:ascii="Times New Roman" w:eastAsia="Times New Roman" w:hAnsi="Times New Roman" w:cs="Times New Roman"/>
      <w:bCs w:val="0"/>
      <w:i w:val="0"/>
      <w:iCs w:val="0"/>
      <w:szCs w:val="20"/>
      <w:lang w:val="en-AU"/>
    </w:rPr>
  </w:style>
  <w:style w:type="paragraph" w:customStyle="1" w:styleId="yHeading5">
    <w:name w:val="yHeading 5"/>
    <w:basedOn w:val="Heading5"/>
    <w:rsid w:val="00B23994"/>
    <w:pPr>
      <w:tabs>
        <w:tab w:val="left" w:pos="879"/>
      </w:tabs>
      <w:spacing w:before="220" w:after="0"/>
      <w:ind w:left="879" w:hanging="879"/>
    </w:pPr>
    <w:rPr>
      <w:rFonts w:ascii="Times New Roman" w:eastAsia="Times New Roman" w:hAnsi="Times New Roman" w:cs="Times New Roman"/>
      <w:b/>
      <w:i w:val="0"/>
      <w:szCs w:val="20"/>
      <w:lang w:val="en-AU"/>
    </w:rPr>
  </w:style>
  <w:style w:type="paragraph" w:customStyle="1" w:styleId="yIndenta">
    <w:name w:val="yIndent(a)"/>
    <w:basedOn w:val="Indenta"/>
    <w:rsid w:val="00B23994"/>
    <w:pPr>
      <w:spacing w:line="240" w:lineRule="auto"/>
    </w:pPr>
    <w:rPr>
      <w:sz w:val="22"/>
    </w:rPr>
  </w:style>
  <w:style w:type="paragraph" w:customStyle="1" w:styleId="yIndentA0">
    <w:name w:val="yIndent(A)"/>
    <w:basedOn w:val="IndentA0"/>
    <w:rsid w:val="00B23994"/>
    <w:pPr>
      <w:spacing w:line="240" w:lineRule="auto"/>
    </w:pPr>
    <w:rPr>
      <w:sz w:val="22"/>
    </w:rPr>
  </w:style>
  <w:style w:type="paragraph" w:customStyle="1" w:styleId="yIndentI">
    <w:name w:val="yIndent(I)"/>
    <w:basedOn w:val="IndentI0"/>
    <w:rsid w:val="00B23994"/>
    <w:pPr>
      <w:spacing w:line="240" w:lineRule="auto"/>
    </w:pPr>
    <w:rPr>
      <w:sz w:val="22"/>
    </w:rPr>
  </w:style>
  <w:style w:type="paragraph" w:customStyle="1" w:styleId="yIndenti0">
    <w:name w:val="yIndent(i)"/>
    <w:basedOn w:val="Indenti"/>
    <w:rsid w:val="00B23994"/>
    <w:pPr>
      <w:spacing w:line="240" w:lineRule="auto"/>
    </w:pPr>
    <w:rPr>
      <w:sz w:val="22"/>
    </w:rPr>
  </w:style>
  <w:style w:type="paragraph" w:customStyle="1" w:styleId="yPenitem">
    <w:name w:val="yPenitem"/>
    <w:basedOn w:val="Penitem"/>
    <w:rsid w:val="00B23994"/>
    <w:pPr>
      <w:spacing w:line="240" w:lineRule="auto"/>
    </w:pPr>
    <w:rPr>
      <w:sz w:val="22"/>
    </w:rPr>
  </w:style>
  <w:style w:type="paragraph" w:customStyle="1" w:styleId="yPenpara">
    <w:name w:val="yPenpara"/>
    <w:basedOn w:val="Penpara"/>
    <w:rsid w:val="00B23994"/>
    <w:pPr>
      <w:spacing w:line="240" w:lineRule="auto"/>
    </w:pPr>
    <w:rPr>
      <w:sz w:val="22"/>
    </w:rPr>
  </w:style>
  <w:style w:type="paragraph" w:customStyle="1" w:styleId="yPenstart">
    <w:name w:val="yPenstart"/>
    <w:basedOn w:val="Penstart"/>
    <w:rsid w:val="00B23994"/>
    <w:pPr>
      <w:spacing w:line="240" w:lineRule="auto"/>
    </w:pPr>
    <w:rPr>
      <w:sz w:val="22"/>
    </w:rPr>
  </w:style>
  <w:style w:type="paragraph" w:customStyle="1" w:styleId="yPensubpara">
    <w:name w:val="yPensubpara"/>
    <w:basedOn w:val="Pensubpara"/>
    <w:rsid w:val="00B23994"/>
    <w:pPr>
      <w:spacing w:line="240" w:lineRule="auto"/>
    </w:pPr>
    <w:rPr>
      <w:sz w:val="22"/>
    </w:rPr>
  </w:style>
  <w:style w:type="paragraph" w:customStyle="1" w:styleId="yScheduleHeading">
    <w:name w:val="yScheduleHeading"/>
    <w:basedOn w:val="yHeading2"/>
    <w:rsid w:val="00B23994"/>
    <w:pPr>
      <w:pageBreakBefore/>
      <w:spacing w:before="0"/>
    </w:pPr>
  </w:style>
  <w:style w:type="paragraph" w:customStyle="1" w:styleId="yShoulderClause">
    <w:name w:val="yShoulderClause"/>
    <w:next w:val="ySubsection"/>
    <w:rsid w:val="00B23994"/>
    <w:pPr>
      <w:spacing w:before="120"/>
      <w:jc w:val="right"/>
    </w:pPr>
    <w:rPr>
      <w:sz w:val="22"/>
      <w:lang w:val="en-AU"/>
    </w:rPr>
  </w:style>
  <w:style w:type="paragraph" w:customStyle="1" w:styleId="ySubsection">
    <w:name w:val="ySubsection"/>
    <w:basedOn w:val="Subsection0"/>
    <w:rsid w:val="00B23994"/>
    <w:pPr>
      <w:spacing w:line="240" w:lineRule="auto"/>
    </w:pPr>
    <w:rPr>
      <w:sz w:val="22"/>
      <w:lang w:eastAsia="en-US"/>
    </w:rPr>
  </w:style>
  <w:style w:type="paragraph" w:customStyle="1" w:styleId="yTable">
    <w:name w:val="yTable"/>
    <w:basedOn w:val="Table"/>
    <w:rsid w:val="00B23994"/>
    <w:pPr>
      <w:spacing w:line="240" w:lineRule="auto"/>
    </w:pPr>
  </w:style>
  <w:style w:type="paragraph" w:customStyle="1" w:styleId="zDefitem">
    <w:name w:val="zDefitem"/>
    <w:basedOn w:val="Normal"/>
    <w:rsid w:val="00B23994"/>
    <w:pPr>
      <w:tabs>
        <w:tab w:val="right" w:pos="3402"/>
        <w:tab w:val="left" w:pos="3686"/>
      </w:tabs>
      <w:spacing w:before="80" w:after="0" w:line="260" w:lineRule="atLeast"/>
      <w:ind w:left="3686" w:right="284" w:hanging="851"/>
    </w:pPr>
    <w:rPr>
      <w:szCs w:val="20"/>
      <w:lang w:val="en-AU"/>
    </w:rPr>
  </w:style>
  <w:style w:type="paragraph" w:customStyle="1" w:styleId="zHeading1">
    <w:name w:val="zHeading 1"/>
    <w:basedOn w:val="Heading1"/>
    <w:rsid w:val="00B23994"/>
    <w:pPr>
      <w:spacing w:before="360" w:after="0" w:line="240" w:lineRule="atLeast"/>
      <w:ind w:left="567" w:right="284"/>
      <w:jc w:val="left"/>
      <w:outlineLvl w:val="9"/>
    </w:pPr>
    <w:rPr>
      <w:kern w:val="0"/>
      <w:lang w:val="en-AU"/>
    </w:rPr>
  </w:style>
  <w:style w:type="paragraph" w:customStyle="1" w:styleId="zMiscellaneousBody">
    <w:name w:val="zMiscellaneousBody"/>
    <w:basedOn w:val="Normal"/>
    <w:rsid w:val="00B23994"/>
    <w:pPr>
      <w:spacing w:before="160" w:after="0" w:line="260" w:lineRule="atLeast"/>
      <w:ind w:left="567" w:right="284"/>
    </w:pPr>
    <w:rPr>
      <w:szCs w:val="20"/>
      <w:lang w:val="en-AU"/>
    </w:rPr>
  </w:style>
  <w:style w:type="paragraph" w:customStyle="1" w:styleId="zMiscellaneousHeading">
    <w:name w:val="zMiscellaneousHeading"/>
    <w:basedOn w:val="MiscellaneousHeading"/>
    <w:rsid w:val="00B23994"/>
    <w:pPr>
      <w:ind w:left="567" w:right="284"/>
    </w:pPr>
  </w:style>
  <w:style w:type="paragraph" w:customStyle="1" w:styleId="zMiscellaneousText">
    <w:name w:val="zMiscellaneousText"/>
    <w:basedOn w:val="zSubsection"/>
    <w:rsid w:val="00B23994"/>
  </w:style>
  <w:style w:type="paragraph" w:customStyle="1" w:styleId="zMiscInsertText">
    <w:name w:val="zMiscInsertText"/>
    <w:rsid w:val="00B23994"/>
    <w:pPr>
      <w:pBdr>
        <w:left w:val="threeDEngrave" w:sz="24" w:space="4" w:color="auto"/>
        <w:right w:val="threeDEmboss" w:sz="24" w:space="4" w:color="auto"/>
      </w:pBdr>
      <w:shd w:val="pct5" w:color="auto" w:fill="auto"/>
    </w:pPr>
    <w:rPr>
      <w:noProof/>
      <w:sz w:val="22"/>
      <w:lang w:val="en-US"/>
    </w:rPr>
  </w:style>
  <w:style w:type="paragraph" w:customStyle="1" w:styleId="zPenitem">
    <w:name w:val="zPenitem"/>
    <w:basedOn w:val="Normal"/>
    <w:rsid w:val="00B23994"/>
    <w:pPr>
      <w:tabs>
        <w:tab w:val="right" w:pos="3402"/>
        <w:tab w:val="left" w:pos="3686"/>
      </w:tabs>
      <w:spacing w:before="80" w:after="0" w:line="260" w:lineRule="atLeast"/>
      <w:ind w:left="3686" w:right="284" w:hanging="851"/>
    </w:pPr>
    <w:rPr>
      <w:szCs w:val="20"/>
      <w:lang w:val="en-AU"/>
    </w:rPr>
  </w:style>
  <w:style w:type="paragraph" w:customStyle="1" w:styleId="zPensubpara">
    <w:name w:val="zPensubpara"/>
    <w:basedOn w:val="Normal"/>
    <w:rsid w:val="00B23994"/>
    <w:pPr>
      <w:tabs>
        <w:tab w:val="right" w:pos="2608"/>
        <w:tab w:val="left" w:pos="2892"/>
      </w:tabs>
      <w:spacing w:before="160" w:after="0" w:line="260" w:lineRule="atLeast"/>
      <w:ind w:left="2892" w:right="284" w:hanging="851"/>
    </w:pPr>
    <w:rPr>
      <w:szCs w:val="20"/>
      <w:lang w:val="en-AU"/>
    </w:rPr>
  </w:style>
  <w:style w:type="paragraph" w:customStyle="1" w:styleId="zyDefitem">
    <w:name w:val="zyDefitem"/>
    <w:basedOn w:val="zDefitem"/>
    <w:rsid w:val="00B23994"/>
    <w:pPr>
      <w:spacing w:line="240" w:lineRule="auto"/>
    </w:pPr>
    <w:rPr>
      <w:sz w:val="22"/>
    </w:rPr>
  </w:style>
  <w:style w:type="paragraph" w:customStyle="1" w:styleId="zyDefpara">
    <w:name w:val="zyDefpara"/>
    <w:basedOn w:val="zDefpara"/>
    <w:rsid w:val="00B23994"/>
    <w:pPr>
      <w:spacing w:line="240" w:lineRule="auto"/>
    </w:pPr>
    <w:rPr>
      <w:sz w:val="22"/>
    </w:rPr>
  </w:style>
  <w:style w:type="paragraph" w:customStyle="1" w:styleId="zyDefstart">
    <w:name w:val="zyDefstart"/>
    <w:basedOn w:val="zDefstart"/>
    <w:rsid w:val="00B23994"/>
    <w:pPr>
      <w:spacing w:line="240" w:lineRule="auto"/>
    </w:pPr>
    <w:rPr>
      <w:sz w:val="22"/>
    </w:rPr>
  </w:style>
  <w:style w:type="paragraph" w:customStyle="1" w:styleId="zyDefsubpara">
    <w:name w:val="zyDefsubpara"/>
    <w:basedOn w:val="zDefsubpara"/>
    <w:rsid w:val="00B23994"/>
    <w:pPr>
      <w:spacing w:line="240" w:lineRule="auto"/>
    </w:pPr>
    <w:rPr>
      <w:snapToGrid w:val="0"/>
      <w:sz w:val="22"/>
    </w:rPr>
  </w:style>
  <w:style w:type="paragraph" w:customStyle="1" w:styleId="zyHeading1">
    <w:name w:val="zyHeading 1"/>
    <w:basedOn w:val="zHeading1"/>
    <w:rsid w:val="00B23994"/>
    <w:pPr>
      <w:spacing w:line="240" w:lineRule="auto"/>
    </w:pPr>
  </w:style>
  <w:style w:type="paragraph" w:customStyle="1" w:styleId="zyHeading2">
    <w:name w:val="zyHeading 2"/>
    <w:basedOn w:val="zHeading2"/>
    <w:rsid w:val="00B23994"/>
    <w:pPr>
      <w:spacing w:line="240" w:lineRule="auto"/>
    </w:pPr>
    <w:rPr>
      <w:sz w:val="28"/>
    </w:rPr>
  </w:style>
  <w:style w:type="paragraph" w:customStyle="1" w:styleId="zyHeading3">
    <w:name w:val="zyHeading 3"/>
    <w:basedOn w:val="zHeading3"/>
    <w:rsid w:val="00B23994"/>
    <w:pPr>
      <w:spacing w:line="240" w:lineRule="auto"/>
    </w:pPr>
    <w:rPr>
      <w:sz w:val="24"/>
    </w:rPr>
  </w:style>
  <w:style w:type="paragraph" w:customStyle="1" w:styleId="zyHeading4">
    <w:name w:val="zyHeading 4"/>
    <w:basedOn w:val="zHeading4"/>
    <w:rsid w:val="00B23994"/>
    <w:rPr>
      <w:sz w:val="22"/>
    </w:rPr>
  </w:style>
  <w:style w:type="paragraph" w:customStyle="1" w:styleId="zyHeading5">
    <w:name w:val="zyHeading 5"/>
    <w:basedOn w:val="zHeading5"/>
    <w:rsid w:val="00B23994"/>
    <w:pPr>
      <w:spacing w:line="240" w:lineRule="auto"/>
    </w:pPr>
    <w:rPr>
      <w:sz w:val="22"/>
    </w:rPr>
  </w:style>
  <w:style w:type="paragraph" w:customStyle="1" w:styleId="zyIndenta">
    <w:name w:val="zyIndent(a)"/>
    <w:basedOn w:val="zIndenta"/>
    <w:rsid w:val="00B23994"/>
    <w:pPr>
      <w:spacing w:line="240" w:lineRule="auto"/>
    </w:pPr>
    <w:rPr>
      <w:sz w:val="22"/>
    </w:rPr>
  </w:style>
  <w:style w:type="paragraph" w:customStyle="1" w:styleId="zyIndentA0">
    <w:name w:val="zyIndent(A)"/>
    <w:basedOn w:val="zIndentA0"/>
    <w:rsid w:val="00B23994"/>
    <w:pPr>
      <w:spacing w:line="240" w:lineRule="auto"/>
    </w:pPr>
    <w:rPr>
      <w:sz w:val="22"/>
    </w:rPr>
  </w:style>
  <w:style w:type="paragraph" w:customStyle="1" w:styleId="zyIndenti">
    <w:name w:val="zyIndent(i)"/>
    <w:basedOn w:val="zIndenti"/>
    <w:rsid w:val="00B23994"/>
    <w:pPr>
      <w:spacing w:line="240" w:lineRule="auto"/>
    </w:pPr>
    <w:rPr>
      <w:sz w:val="22"/>
    </w:rPr>
  </w:style>
  <w:style w:type="paragraph" w:customStyle="1" w:styleId="zyIndentI0">
    <w:name w:val="zyIndent(I)"/>
    <w:basedOn w:val="zIndentI0"/>
    <w:rsid w:val="00B23994"/>
    <w:pPr>
      <w:spacing w:line="240" w:lineRule="auto"/>
    </w:pPr>
    <w:rPr>
      <w:sz w:val="22"/>
    </w:rPr>
  </w:style>
  <w:style w:type="paragraph" w:customStyle="1" w:styleId="zyPenitem">
    <w:name w:val="zyPenitem"/>
    <w:basedOn w:val="zPenitem"/>
    <w:rsid w:val="00B23994"/>
    <w:pPr>
      <w:spacing w:line="240" w:lineRule="auto"/>
    </w:pPr>
    <w:rPr>
      <w:sz w:val="22"/>
    </w:rPr>
  </w:style>
  <w:style w:type="paragraph" w:customStyle="1" w:styleId="zyPenpara">
    <w:name w:val="zyPenpara"/>
    <w:basedOn w:val="zPenpara"/>
    <w:rsid w:val="00B23994"/>
    <w:pPr>
      <w:spacing w:line="240" w:lineRule="auto"/>
    </w:pPr>
    <w:rPr>
      <w:sz w:val="22"/>
    </w:rPr>
  </w:style>
  <w:style w:type="paragraph" w:customStyle="1" w:styleId="zyPenstart">
    <w:name w:val="zyPenstart"/>
    <w:basedOn w:val="zPenstart"/>
    <w:rsid w:val="00B23994"/>
    <w:pPr>
      <w:spacing w:line="240" w:lineRule="auto"/>
    </w:pPr>
    <w:rPr>
      <w:sz w:val="22"/>
    </w:rPr>
  </w:style>
  <w:style w:type="paragraph" w:customStyle="1" w:styleId="zyPensubpara">
    <w:name w:val="zyPensubpara"/>
    <w:basedOn w:val="zPensubpara"/>
    <w:rsid w:val="00B23994"/>
    <w:pPr>
      <w:spacing w:line="240" w:lineRule="auto"/>
      <w:ind w:left="3459" w:hanging="2892"/>
    </w:pPr>
    <w:rPr>
      <w:sz w:val="22"/>
    </w:rPr>
  </w:style>
  <w:style w:type="paragraph" w:customStyle="1" w:styleId="zySubsection">
    <w:name w:val="zySubsection"/>
    <w:basedOn w:val="zSubsection"/>
    <w:rsid w:val="00B23994"/>
    <w:pPr>
      <w:spacing w:line="240" w:lineRule="auto"/>
    </w:pPr>
    <w:rPr>
      <w:sz w:val="22"/>
    </w:rPr>
  </w:style>
  <w:style w:type="paragraph" w:customStyle="1" w:styleId="Confidential">
    <w:name w:val="Confidential"/>
    <w:basedOn w:val="WA"/>
    <w:rsid w:val="00B23994"/>
    <w:pPr>
      <w:spacing w:after="0"/>
    </w:pPr>
    <w:rPr>
      <w:color w:val="FFFFFF"/>
    </w:rPr>
  </w:style>
  <w:style w:type="paragraph" w:customStyle="1" w:styleId="ParlHouse">
    <w:name w:val="ParlHouse"/>
    <w:basedOn w:val="WA"/>
    <w:rsid w:val="00B23994"/>
    <w:pPr>
      <w:spacing w:after="300"/>
    </w:pPr>
    <w:rPr>
      <w:u w:val="single"/>
    </w:rPr>
  </w:style>
  <w:style w:type="paragraph" w:customStyle="1" w:styleId="DraftNo">
    <w:name w:val="DraftNo"/>
    <w:basedOn w:val="WA"/>
    <w:rsid w:val="00B23994"/>
    <w:pPr>
      <w:spacing w:before="120" w:after="120"/>
    </w:pPr>
  </w:style>
  <w:style w:type="paragraph" w:customStyle="1" w:styleId="ABillFor">
    <w:name w:val="ABillFor"/>
    <w:basedOn w:val="Normal"/>
    <w:rsid w:val="00B23994"/>
    <w:pPr>
      <w:spacing w:before="240" w:after="600"/>
      <w:jc w:val="center"/>
    </w:pPr>
    <w:rPr>
      <w:b/>
      <w:szCs w:val="20"/>
      <w:lang w:val="en-AU"/>
    </w:rPr>
  </w:style>
  <w:style w:type="paragraph" w:customStyle="1" w:styleId="yFootnoteheading">
    <w:name w:val="yFootnote(heading)"/>
    <w:basedOn w:val="Footnoteheading"/>
    <w:rsid w:val="00B23994"/>
    <w:pPr>
      <w:spacing w:line="240" w:lineRule="auto"/>
    </w:pPr>
    <w:rPr>
      <w:sz w:val="22"/>
    </w:rPr>
  </w:style>
  <w:style w:type="character" w:customStyle="1" w:styleId="CharSchText">
    <w:name w:val="CharSchText"/>
    <w:rsid w:val="00B23994"/>
    <w:rPr>
      <w:noProof w:val="0"/>
      <w:lang w:val="en-AU"/>
    </w:rPr>
  </w:style>
  <w:style w:type="paragraph" w:customStyle="1" w:styleId="CentredBaseLine">
    <w:name w:val="CentredBaseLine"/>
    <w:rsid w:val="00B23994"/>
    <w:pPr>
      <w:suppressLineNumbers/>
      <w:spacing w:before="240"/>
    </w:pPr>
    <w:rPr>
      <w:lang w:val="en-AU"/>
    </w:rPr>
  </w:style>
  <w:style w:type="paragraph" w:customStyle="1" w:styleId="MadeBy">
    <w:name w:val="MadeBy"/>
    <w:rsid w:val="00B23994"/>
    <w:pPr>
      <w:spacing w:before="600"/>
    </w:pPr>
    <w:rPr>
      <w:sz w:val="24"/>
      <w:lang w:val="en-AU"/>
    </w:rPr>
  </w:style>
  <w:style w:type="paragraph" w:customStyle="1" w:styleId="PrincipalActReg">
    <w:name w:val="PrincipalAct_Reg"/>
    <w:rsid w:val="00B23994"/>
    <w:pPr>
      <w:spacing w:after="480"/>
      <w:jc w:val="center"/>
    </w:pPr>
    <w:rPr>
      <w:sz w:val="24"/>
      <w:lang w:val="en-AU"/>
    </w:rPr>
  </w:style>
  <w:style w:type="character" w:customStyle="1" w:styleId="DraftersNotes">
    <w:name w:val="DraftersNotes"/>
    <w:rsid w:val="00B23994"/>
    <w:rPr>
      <w:b/>
      <w:i/>
      <w:sz w:val="20"/>
    </w:rPr>
  </w:style>
  <w:style w:type="paragraph" w:customStyle="1" w:styleId="Equation">
    <w:name w:val="Equation"/>
    <w:rsid w:val="00B23994"/>
    <w:rPr>
      <w:noProof/>
      <w:sz w:val="24"/>
      <w:lang w:val="en-AU"/>
    </w:rPr>
  </w:style>
  <w:style w:type="paragraph" w:customStyle="1" w:styleId="Graphics">
    <w:name w:val="Graphics"/>
    <w:basedOn w:val="Equation"/>
    <w:rsid w:val="00B23994"/>
  </w:style>
  <w:style w:type="paragraph" w:customStyle="1" w:styleId="zyScheduleHeading">
    <w:name w:val="zyScheduleHeading"/>
    <w:basedOn w:val="yScheduleHeading"/>
    <w:rsid w:val="00B23994"/>
    <w:pPr>
      <w:pageBreakBefore w:val="0"/>
      <w:outlineLvl w:val="9"/>
    </w:pPr>
    <w:rPr>
      <w:sz w:val="26"/>
    </w:rPr>
  </w:style>
  <w:style w:type="paragraph" w:customStyle="1" w:styleId="zySchoulderClause">
    <w:name w:val="zySchoulderClause"/>
    <w:basedOn w:val="yShoulderClause"/>
    <w:rsid w:val="00B23994"/>
    <w:rPr>
      <w:sz w:val="20"/>
    </w:rPr>
  </w:style>
  <w:style w:type="paragraph" w:customStyle="1" w:styleId="zyShoulderClause">
    <w:name w:val="zyShoulderClause"/>
    <w:basedOn w:val="yShoulderClause"/>
    <w:rsid w:val="00B23994"/>
  </w:style>
  <w:style w:type="paragraph" w:customStyle="1" w:styleId="ByCommand">
    <w:name w:val="ByCommand"/>
    <w:basedOn w:val="Normal"/>
    <w:rsid w:val="00B23994"/>
    <w:pPr>
      <w:tabs>
        <w:tab w:val="left" w:pos="4536"/>
      </w:tabs>
      <w:spacing w:before="240" w:after="0"/>
    </w:pPr>
    <w:rPr>
      <w:szCs w:val="20"/>
      <w:lang w:val="en-AU"/>
    </w:rPr>
  </w:style>
  <w:style w:type="paragraph" w:customStyle="1" w:styleId="NotesPerm">
    <w:name w:val="NotesPerm"/>
    <w:basedOn w:val="Normal"/>
    <w:rsid w:val="00B23994"/>
    <w:pPr>
      <w:tabs>
        <w:tab w:val="left" w:pos="879"/>
      </w:tabs>
      <w:spacing w:before="160" w:after="0"/>
      <w:ind w:left="879" w:hanging="879"/>
    </w:pPr>
    <w:rPr>
      <w:rFonts w:ascii="Arial" w:hAnsi="Arial"/>
      <w:sz w:val="18"/>
      <w:szCs w:val="20"/>
      <w:lang w:val="en-AU"/>
    </w:rPr>
  </w:style>
  <w:style w:type="paragraph" w:customStyle="1" w:styleId="DefinedTerms">
    <w:name w:val="Defined Terms"/>
    <w:rsid w:val="00B23994"/>
    <w:pPr>
      <w:tabs>
        <w:tab w:val="right" w:leader="dot" w:pos="7070"/>
      </w:tabs>
      <w:ind w:left="578" w:right="578"/>
    </w:pPr>
    <w:rPr>
      <w:lang w:val="en-AU"/>
    </w:rPr>
  </w:style>
  <w:style w:type="paragraph" w:customStyle="1" w:styleId="zLongTitle">
    <w:name w:val="zLong Title"/>
    <w:basedOn w:val="LongTitle"/>
    <w:rsid w:val="00B23994"/>
    <w:pPr>
      <w:ind w:left="567" w:right="284"/>
    </w:pPr>
  </w:style>
  <w:style w:type="paragraph" w:customStyle="1" w:styleId="zytable">
    <w:name w:val="zytable"/>
    <w:basedOn w:val="yTable"/>
    <w:rsid w:val="00B23994"/>
    <w:pPr>
      <w:ind w:left="567" w:right="284"/>
    </w:pPr>
  </w:style>
  <w:style w:type="paragraph" w:customStyle="1" w:styleId="NotesPerm2">
    <w:name w:val="NotesPerm(2)"/>
    <w:basedOn w:val="NotesPerm"/>
    <w:rsid w:val="00B23994"/>
    <w:pPr>
      <w:numPr>
        <w:numId w:val="22"/>
      </w:numPr>
      <w:tabs>
        <w:tab w:val="clear" w:pos="879"/>
      </w:tabs>
    </w:pPr>
  </w:style>
  <w:style w:type="paragraph" w:customStyle="1" w:styleId="nzMiscellaneousBody">
    <w:name w:val="nzMiscellaneous Body"/>
    <w:basedOn w:val="zMiscellaneousBody"/>
    <w:rsid w:val="00B23994"/>
    <w:pPr>
      <w:spacing w:before="80" w:line="240" w:lineRule="auto"/>
    </w:pPr>
    <w:rPr>
      <w:sz w:val="20"/>
    </w:rPr>
  </w:style>
  <w:style w:type="paragraph" w:customStyle="1" w:styleId="nzMiscellaneousHeading">
    <w:name w:val="nzMiscellaneous Heading"/>
    <w:basedOn w:val="zMiscellaneousHeading"/>
    <w:rsid w:val="00B23994"/>
    <w:pPr>
      <w:spacing w:before="80" w:line="240" w:lineRule="auto"/>
    </w:pPr>
    <w:rPr>
      <w:sz w:val="20"/>
    </w:rPr>
  </w:style>
  <w:style w:type="paragraph" w:customStyle="1" w:styleId="yMiscellaneousBody">
    <w:name w:val="yMiscellaneous Body"/>
    <w:basedOn w:val="MiscellaneousBody"/>
    <w:rsid w:val="00B23994"/>
    <w:pPr>
      <w:spacing w:line="240" w:lineRule="auto"/>
    </w:pPr>
    <w:rPr>
      <w:sz w:val="22"/>
    </w:rPr>
  </w:style>
  <w:style w:type="paragraph" w:customStyle="1" w:styleId="yMiscellaneousFootnotes">
    <w:name w:val="yMiscellaneous Footnotes"/>
    <w:basedOn w:val="MiscellaneousFootnotes"/>
    <w:rsid w:val="00B23994"/>
    <w:pPr>
      <w:spacing w:line="240" w:lineRule="auto"/>
    </w:pPr>
    <w:rPr>
      <w:sz w:val="22"/>
    </w:rPr>
  </w:style>
  <w:style w:type="paragraph" w:customStyle="1" w:styleId="yMiscellaneousHeading">
    <w:name w:val="yMiscellaneous Heading"/>
    <w:basedOn w:val="MiscellaneousHeading"/>
    <w:rsid w:val="00B23994"/>
    <w:pPr>
      <w:spacing w:line="240" w:lineRule="auto"/>
    </w:pPr>
    <w:rPr>
      <w:sz w:val="22"/>
    </w:rPr>
  </w:style>
  <w:style w:type="paragraph" w:customStyle="1" w:styleId="zTablet">
    <w:name w:val="zTable t"/>
    <w:basedOn w:val="Table"/>
    <w:rsid w:val="00B23994"/>
  </w:style>
  <w:style w:type="paragraph" w:customStyle="1" w:styleId="zyMiscellaneousBody">
    <w:name w:val="zyMiscellaneous Body"/>
    <w:basedOn w:val="zMiscellaneousBody"/>
    <w:rsid w:val="00B23994"/>
    <w:pPr>
      <w:spacing w:line="240" w:lineRule="auto"/>
    </w:pPr>
    <w:rPr>
      <w:sz w:val="22"/>
    </w:rPr>
  </w:style>
  <w:style w:type="paragraph" w:customStyle="1" w:styleId="zyMiscellaneousHeading">
    <w:name w:val="zyMiscellaneous Heading"/>
    <w:basedOn w:val="zMiscellaneousHeading"/>
    <w:rsid w:val="00B23994"/>
    <w:pPr>
      <w:spacing w:line="240" w:lineRule="auto"/>
    </w:pPr>
    <w:rPr>
      <w:sz w:val="22"/>
    </w:rPr>
  </w:style>
  <w:style w:type="paragraph" w:customStyle="1" w:styleId="OmitFootnote">
    <w:name w:val="OmitFootnote"/>
    <w:basedOn w:val="yEdnotesection"/>
    <w:rsid w:val="00B23994"/>
    <w:pPr>
      <w:spacing w:before="600"/>
      <w:outlineLvl w:val="1"/>
    </w:pPr>
  </w:style>
  <w:style w:type="paragraph" w:customStyle="1" w:styleId="yNumberedItem">
    <w:name w:val="yNumberedItem"/>
    <w:basedOn w:val="yHeading5"/>
    <w:rsid w:val="00B23994"/>
    <w:pPr>
      <w:keepNext w:val="0"/>
      <w:keepLines w:val="0"/>
      <w:spacing w:before="120"/>
      <w:outlineLvl w:val="9"/>
    </w:pPr>
    <w:rPr>
      <w:b w:val="0"/>
    </w:rPr>
  </w:style>
  <w:style w:type="paragraph" w:customStyle="1" w:styleId="zyNumberedItem">
    <w:name w:val="zyNumberedItem"/>
    <w:basedOn w:val="yNumberedItem"/>
    <w:rsid w:val="00B23994"/>
    <w:pPr>
      <w:tabs>
        <w:tab w:val="clear" w:pos="879"/>
        <w:tab w:val="left" w:pos="1446"/>
      </w:tabs>
      <w:ind w:left="1446" w:right="284"/>
    </w:pPr>
  </w:style>
  <w:style w:type="paragraph" w:customStyle="1" w:styleId="nzLongTitle">
    <w:name w:val="nzLong Title"/>
    <w:basedOn w:val="zLongTitle"/>
    <w:rsid w:val="00B23994"/>
    <w:pPr>
      <w:spacing w:before="40"/>
    </w:pPr>
    <w:rPr>
      <w:sz w:val="20"/>
    </w:rPr>
  </w:style>
  <w:style w:type="paragraph" w:customStyle="1" w:styleId="nzNotesPerm">
    <w:name w:val="nzNotesPerm"/>
    <w:basedOn w:val="NotesPerm"/>
    <w:rsid w:val="00B23994"/>
    <w:pPr>
      <w:tabs>
        <w:tab w:val="clear" w:pos="879"/>
        <w:tab w:val="left" w:pos="1446"/>
      </w:tabs>
      <w:spacing w:before="40"/>
      <w:ind w:left="1446" w:right="284"/>
    </w:pPr>
    <w:rPr>
      <w:sz w:val="14"/>
    </w:rPr>
  </w:style>
  <w:style w:type="paragraph" w:customStyle="1" w:styleId="nzNumberedItem">
    <w:name w:val="nzNumberedItem"/>
    <w:basedOn w:val="zyNumberedItem"/>
    <w:rsid w:val="00B23994"/>
    <w:pPr>
      <w:spacing w:before="40"/>
    </w:pPr>
    <w:rPr>
      <w:sz w:val="20"/>
    </w:rPr>
  </w:style>
  <w:style w:type="paragraph" w:customStyle="1" w:styleId="yHeading6">
    <w:name w:val="yHeading 6"/>
    <w:basedOn w:val="Heading6"/>
    <w:rsid w:val="00B23994"/>
    <w:pPr>
      <w:spacing w:after="0"/>
      <w:ind w:left="0"/>
    </w:pPr>
    <w:rPr>
      <w:rFonts w:ascii="Times New Roman" w:eastAsia="Times New Roman" w:hAnsi="Times New Roman" w:cs="Times New Roman"/>
      <w:b w:val="0"/>
      <w:iCs w:val="0"/>
      <w:noProof/>
      <w:sz w:val="22"/>
      <w:lang w:val="en-AU"/>
    </w:rPr>
  </w:style>
  <w:style w:type="paragraph" w:customStyle="1" w:styleId="yScheduleHeading2">
    <w:name w:val="yScheduleHeading 2"/>
    <w:basedOn w:val="yScheduleHeading"/>
    <w:rsid w:val="00B23994"/>
    <w:pPr>
      <w:pageBreakBefore w:val="0"/>
      <w:spacing w:before="240"/>
    </w:pPr>
  </w:style>
  <w:style w:type="character" w:customStyle="1" w:styleId="CharSDivNo">
    <w:name w:val="CharSDivNo"/>
    <w:rsid w:val="00B23994"/>
    <w:rPr>
      <w:sz w:val="24"/>
      <w:lang w:val="en-AU"/>
    </w:rPr>
  </w:style>
  <w:style w:type="character" w:customStyle="1" w:styleId="CharSDivText">
    <w:name w:val="CharSDivText"/>
    <w:rsid w:val="00B23994"/>
    <w:rPr>
      <w:sz w:val="24"/>
    </w:rPr>
  </w:style>
  <w:style w:type="character" w:customStyle="1" w:styleId="CharSClsNo">
    <w:name w:val="CharSClsNo"/>
    <w:rsid w:val="00B23994"/>
    <w:rPr>
      <w:sz w:val="22"/>
      <w:lang w:val="en-AU"/>
    </w:rPr>
  </w:style>
  <w:style w:type="paragraph" w:customStyle="1" w:styleId="Ednotepart">
    <w:name w:val="Ednote(part)"/>
    <w:basedOn w:val="Ednotesection"/>
    <w:rsid w:val="00B23994"/>
    <w:pPr>
      <w:tabs>
        <w:tab w:val="clear" w:pos="893"/>
      </w:tabs>
      <w:ind w:left="0" w:firstLine="0"/>
    </w:pPr>
  </w:style>
  <w:style w:type="paragraph" w:customStyle="1" w:styleId="Ednotedivision">
    <w:name w:val="Ednote(division)"/>
    <w:basedOn w:val="Ednotepart"/>
    <w:rsid w:val="00B23994"/>
  </w:style>
  <w:style w:type="paragraph" w:customStyle="1" w:styleId="Ednotesubdivision">
    <w:name w:val="Ednote(subdivision)"/>
    <w:basedOn w:val="Ednotepart"/>
    <w:rsid w:val="00B23994"/>
  </w:style>
  <w:style w:type="paragraph" w:customStyle="1" w:styleId="Footnotelongtitle">
    <w:name w:val="Footnote(longtitle)"/>
    <w:basedOn w:val="Footnotesection"/>
    <w:rsid w:val="00B23994"/>
  </w:style>
  <w:style w:type="paragraph" w:customStyle="1" w:styleId="Footnotepreamble">
    <w:name w:val="Footnote(preamble)"/>
    <w:basedOn w:val="Footnotesection"/>
    <w:rsid w:val="00B23994"/>
  </w:style>
  <w:style w:type="paragraph" w:customStyle="1" w:styleId="LegTblHist">
    <w:name w:val="LegTblHist"/>
    <w:basedOn w:val="Heading2"/>
    <w:rsid w:val="00B23994"/>
    <w:pPr>
      <w:spacing w:after="0" w:line="240" w:lineRule="atLeast"/>
    </w:pPr>
    <w:rPr>
      <w:bCs w:val="0"/>
      <w:i w:val="0"/>
      <w:iCs w:val="0"/>
      <w:sz w:val="26"/>
      <w:szCs w:val="24"/>
      <w:lang w:val="en-AU"/>
    </w:rPr>
  </w:style>
  <w:style w:type="paragraph" w:customStyle="1" w:styleId="LongTitle2">
    <w:name w:val="Long Title2"/>
    <w:basedOn w:val="LongTitle"/>
    <w:rsid w:val="00B23994"/>
    <w:pPr>
      <w:tabs>
        <w:tab w:val="right" w:pos="170"/>
        <w:tab w:val="left" w:pos="397"/>
      </w:tabs>
      <w:ind w:left="397" w:hanging="397"/>
    </w:pPr>
  </w:style>
  <w:style w:type="paragraph" w:customStyle="1" w:styleId="LongTitle3">
    <w:name w:val="Long Title3"/>
    <w:basedOn w:val="LongTitle"/>
    <w:rsid w:val="00B23994"/>
    <w:pPr>
      <w:tabs>
        <w:tab w:val="right" w:pos="567"/>
        <w:tab w:val="left" w:pos="794"/>
      </w:tabs>
      <w:ind w:left="794" w:hanging="794"/>
    </w:pPr>
  </w:style>
  <w:style w:type="paragraph" w:customStyle="1" w:styleId="Preamble2">
    <w:name w:val="Preamble2"/>
    <w:basedOn w:val="Preamble"/>
    <w:rsid w:val="00B23994"/>
    <w:pPr>
      <w:tabs>
        <w:tab w:val="clear" w:pos="567"/>
      </w:tabs>
      <w:spacing w:before="80"/>
      <w:ind w:left="0" w:firstLine="0"/>
    </w:pPr>
  </w:style>
  <w:style w:type="paragraph" w:customStyle="1" w:styleId="Preamble1">
    <w:name w:val="Preamble1"/>
    <w:basedOn w:val="Preamble2"/>
    <w:rsid w:val="00B23994"/>
    <w:pPr>
      <w:spacing w:before="120"/>
    </w:pPr>
    <w:rPr>
      <w:b/>
    </w:rPr>
  </w:style>
  <w:style w:type="paragraph" w:customStyle="1" w:styleId="Preamble3">
    <w:name w:val="Preamble3"/>
    <w:basedOn w:val="Preamble2"/>
    <w:rsid w:val="00B23994"/>
    <w:pPr>
      <w:tabs>
        <w:tab w:val="right" w:pos="595"/>
        <w:tab w:val="left" w:pos="879"/>
      </w:tabs>
      <w:ind w:left="879" w:hanging="879"/>
    </w:pPr>
  </w:style>
  <w:style w:type="paragraph" w:customStyle="1" w:styleId="Preamble4">
    <w:name w:val="Preamble4"/>
    <w:basedOn w:val="Preamble2"/>
    <w:rsid w:val="00B23994"/>
    <w:pPr>
      <w:tabs>
        <w:tab w:val="right" w:pos="1332"/>
        <w:tab w:val="left" w:pos="1616"/>
      </w:tabs>
      <w:ind w:left="1616" w:hanging="1616"/>
    </w:pPr>
  </w:style>
  <w:style w:type="paragraph" w:customStyle="1" w:styleId="ReprintNo">
    <w:name w:val="ReprintNo."/>
    <w:rsid w:val="00B23994"/>
    <w:pPr>
      <w:outlineLvl w:val="0"/>
    </w:pPr>
    <w:rPr>
      <w:b/>
      <w:noProof/>
      <w:sz w:val="28"/>
      <w:lang w:val="en-AU"/>
    </w:rPr>
  </w:style>
  <w:style w:type="paragraph" w:customStyle="1" w:styleId="yEdnotedefitem">
    <w:name w:val="yEdnote(defitem)"/>
    <w:basedOn w:val="Ednotedefitem"/>
    <w:rsid w:val="00B23994"/>
    <w:rPr>
      <w:i w:val="0"/>
      <w:sz w:val="22"/>
    </w:rPr>
  </w:style>
  <w:style w:type="paragraph" w:customStyle="1" w:styleId="yEdnotedefpara">
    <w:name w:val="yEdnote(defpara)"/>
    <w:basedOn w:val="Ednotedefpara"/>
    <w:rsid w:val="00B23994"/>
    <w:rPr>
      <w:sz w:val="22"/>
    </w:rPr>
  </w:style>
  <w:style w:type="paragraph" w:customStyle="1" w:styleId="yEdnotedefsubpara">
    <w:name w:val="yEdnote(defsubpara)"/>
    <w:basedOn w:val="Ednotedefsubpara"/>
    <w:rsid w:val="00B23994"/>
    <w:rPr>
      <w:i w:val="0"/>
      <w:sz w:val="22"/>
    </w:rPr>
  </w:style>
  <w:style w:type="paragraph" w:customStyle="1" w:styleId="yEdnoteschedule">
    <w:name w:val="yEdnote(schedule)"/>
    <w:basedOn w:val="yEdnotesection"/>
    <w:rsid w:val="00B23994"/>
    <w:pPr>
      <w:tabs>
        <w:tab w:val="clear" w:pos="893"/>
      </w:tabs>
      <w:ind w:left="0" w:firstLine="0"/>
    </w:pPr>
  </w:style>
  <w:style w:type="paragraph" w:customStyle="1" w:styleId="yEdnotedivision">
    <w:name w:val="yEdnote(division)"/>
    <w:basedOn w:val="yEdnoteschedule"/>
    <w:rsid w:val="00B23994"/>
  </w:style>
  <w:style w:type="paragraph" w:customStyle="1" w:styleId="yEdnotesubdivision">
    <w:name w:val="yEdnote(subdivision)"/>
    <w:basedOn w:val="yEdnoteschedule"/>
    <w:rsid w:val="00B23994"/>
  </w:style>
  <w:style w:type="paragraph" w:customStyle="1" w:styleId="yEdnotesubsection">
    <w:name w:val="yEdnote(subsection)"/>
    <w:basedOn w:val="Ednotesubsection"/>
    <w:rsid w:val="00B23994"/>
    <w:rPr>
      <w:sz w:val="22"/>
    </w:rPr>
  </w:style>
  <w:style w:type="character" w:customStyle="1" w:styleId="tocnumber2">
    <w:name w:val="tocnumber2"/>
    <w:basedOn w:val="DefaultParagraphFont"/>
    <w:rsid w:val="00B23994"/>
  </w:style>
  <w:style w:type="character" w:customStyle="1" w:styleId="toctext">
    <w:name w:val="toctext"/>
    <w:basedOn w:val="DefaultParagraphFont"/>
    <w:rsid w:val="00B23994"/>
  </w:style>
  <w:style w:type="paragraph" w:customStyle="1" w:styleId="Slide1">
    <w:name w:val="Slide 1"/>
    <w:basedOn w:val="Normal"/>
    <w:next w:val="Slide2"/>
    <w:qFormat/>
    <w:rsid w:val="00B23994"/>
    <w:pPr>
      <w:keepNext/>
      <w:tabs>
        <w:tab w:val="left" w:pos="851"/>
      </w:tabs>
      <w:spacing w:after="0"/>
      <w:ind w:left="567" w:hanging="567"/>
    </w:pPr>
    <w:rPr>
      <w:rFonts w:ascii="Arial" w:eastAsia="Calibri" w:hAnsi="Arial" w:cs="Arial"/>
      <w:b/>
      <w:sz w:val="22"/>
      <w:szCs w:val="36"/>
      <w:lang w:val="en-NZ"/>
    </w:rPr>
  </w:style>
  <w:style w:type="paragraph" w:customStyle="1" w:styleId="Slide2">
    <w:name w:val="Slide 2"/>
    <w:qFormat/>
    <w:rsid w:val="00B23994"/>
    <w:pPr>
      <w:spacing w:before="120"/>
      <w:ind w:left="567" w:hanging="567"/>
    </w:pPr>
    <w:rPr>
      <w:rFonts w:ascii="Arial" w:eastAsia="Calibri" w:hAnsi="Arial" w:cs="Arial"/>
      <w:snapToGrid w:val="0"/>
      <w:sz w:val="22"/>
      <w:szCs w:val="36"/>
      <w:lang w:val="en-NZ"/>
    </w:rPr>
  </w:style>
  <w:style w:type="paragraph" w:customStyle="1" w:styleId="Slide3">
    <w:name w:val="Slide 3"/>
    <w:basedOn w:val="Slide2"/>
    <w:qFormat/>
    <w:rsid w:val="00B23994"/>
    <w:pPr>
      <w:tabs>
        <w:tab w:val="right" w:pos="1021"/>
      </w:tabs>
      <w:ind w:left="1134"/>
    </w:pPr>
  </w:style>
  <w:style w:type="character" w:styleId="PlaceholderText">
    <w:name w:val="Placeholder Text"/>
    <w:basedOn w:val="DefaultParagraphFont"/>
    <w:uiPriority w:val="99"/>
    <w:semiHidden/>
    <w:rsid w:val="00B23994"/>
    <w:rPr>
      <w:color w:val="808080"/>
    </w:rPr>
  </w:style>
  <w:style w:type="paragraph" w:customStyle="1" w:styleId="SlideEquation">
    <w:name w:val="Slide Equation"/>
    <w:basedOn w:val="Slide2"/>
    <w:qFormat/>
    <w:rsid w:val="00B23994"/>
    <w:pPr>
      <w:spacing w:before="240"/>
      <w:ind w:firstLine="0"/>
    </w:pPr>
  </w:style>
  <w:style w:type="paragraph" w:customStyle="1" w:styleId="Slide4">
    <w:name w:val="Slide 4"/>
    <w:basedOn w:val="Slide3"/>
    <w:qFormat/>
    <w:rsid w:val="00B23994"/>
    <w:pPr>
      <w:tabs>
        <w:tab w:val="clear" w:pos="1021"/>
      </w:tabs>
      <w:ind w:left="1701"/>
    </w:pPr>
  </w:style>
  <w:style w:type="paragraph" w:customStyle="1" w:styleId="Slide5">
    <w:name w:val="Slide 5"/>
    <w:basedOn w:val="Slide4"/>
    <w:qFormat/>
    <w:rsid w:val="00B23994"/>
    <w:pPr>
      <w:ind w:left="2268"/>
    </w:pPr>
  </w:style>
  <w:style w:type="paragraph" w:customStyle="1" w:styleId="BoxPara">
    <w:name w:val="BoxPara"/>
    <w:aliases w:val="bp"/>
    <w:basedOn w:val="Normal"/>
    <w:rsid w:val="00B23994"/>
    <w:pPr>
      <w:pBdr>
        <w:top w:val="single" w:sz="6" w:space="5" w:color="auto"/>
        <w:left w:val="single" w:sz="6" w:space="5" w:color="auto"/>
        <w:bottom w:val="single" w:sz="6" w:space="5" w:color="auto"/>
        <w:right w:val="single" w:sz="6" w:space="5" w:color="auto"/>
      </w:pBdr>
      <w:tabs>
        <w:tab w:val="right" w:pos="2268"/>
      </w:tabs>
      <w:spacing w:before="240" w:after="0"/>
      <w:ind w:left="2552" w:hanging="1418"/>
    </w:pPr>
    <w:rPr>
      <w:sz w:val="22"/>
      <w:lang w:val="en-AU" w:eastAsia="en-AU"/>
    </w:rPr>
  </w:style>
  <w:style w:type="character" w:customStyle="1" w:styleId="hit1">
    <w:name w:val="hit1"/>
    <w:basedOn w:val="DefaultParagraphFont"/>
    <w:rsid w:val="00B23994"/>
    <w:rPr>
      <w:color w:val="000000"/>
      <w:shd w:val="clear" w:color="auto" w:fill="FFFF00"/>
    </w:rPr>
  </w:style>
  <w:style w:type="character" w:customStyle="1" w:styleId="label1">
    <w:name w:val="label1"/>
    <w:basedOn w:val="DefaultParagraphFont"/>
    <w:rsid w:val="00B23994"/>
  </w:style>
  <w:style w:type="character" w:customStyle="1" w:styleId="label2">
    <w:name w:val="label2"/>
    <w:basedOn w:val="DefaultParagraphFont"/>
    <w:rsid w:val="00B23994"/>
  </w:style>
  <w:style w:type="character" w:customStyle="1" w:styleId="label3">
    <w:name w:val="label3"/>
    <w:basedOn w:val="DefaultParagraphFont"/>
    <w:rsid w:val="00B23994"/>
  </w:style>
  <w:style w:type="paragraph" w:customStyle="1" w:styleId="subprov1">
    <w:name w:val="subprov1"/>
    <w:basedOn w:val="Normal"/>
    <w:rsid w:val="00B23994"/>
    <w:pPr>
      <w:spacing w:before="83" w:after="216" w:line="288" w:lineRule="atLeast"/>
    </w:pPr>
    <w:rPr>
      <w:lang w:val="en-NZ" w:eastAsia="en-NZ"/>
    </w:rPr>
  </w:style>
  <w:style w:type="character" w:customStyle="1" w:styleId="label">
    <w:name w:val="label"/>
    <w:basedOn w:val="DefaultParagraphFont"/>
    <w:rsid w:val="00B23994"/>
  </w:style>
  <w:style w:type="character" w:customStyle="1" w:styleId="spc1">
    <w:name w:val="spc1"/>
    <w:basedOn w:val="DefaultParagraphFont"/>
    <w:rsid w:val="00B23994"/>
    <w:rPr>
      <w:strike w:val="0"/>
      <w:dstrike w:val="0"/>
      <w:u w:val="none"/>
      <w:effect w:val="none"/>
    </w:rPr>
  </w:style>
  <w:style w:type="paragraph" w:customStyle="1" w:styleId="headless2">
    <w:name w:val="headless2"/>
    <w:basedOn w:val="Normal"/>
    <w:rsid w:val="00B23994"/>
    <w:pPr>
      <w:spacing w:before="240" w:after="360" w:line="288" w:lineRule="atLeast"/>
    </w:pPr>
    <w:rPr>
      <w:color w:val="000000"/>
      <w:lang w:val="en-NZ" w:eastAsia="en-NZ"/>
    </w:rPr>
  </w:style>
  <w:style w:type="paragraph" w:customStyle="1" w:styleId="label9">
    <w:name w:val="label9"/>
    <w:basedOn w:val="Normal"/>
    <w:rsid w:val="00B23994"/>
    <w:pPr>
      <w:spacing w:before="0" w:after="0" w:line="288" w:lineRule="atLeast"/>
    </w:pPr>
    <w:rPr>
      <w:color w:val="000000"/>
      <w:lang w:val="en-NZ" w:eastAsia="en-NZ"/>
    </w:rPr>
  </w:style>
  <w:style w:type="paragraph" w:customStyle="1" w:styleId="Slidelabel">
    <w:name w:val="Slide label"/>
    <w:basedOn w:val="Normal"/>
    <w:qFormat/>
    <w:rsid w:val="00EB6BA9"/>
    <w:pPr>
      <w:keepNext/>
      <w:numPr>
        <w:numId w:val="24"/>
      </w:numPr>
      <w:tabs>
        <w:tab w:val="left" w:pos="2268"/>
      </w:tabs>
      <w:spacing w:line="240" w:lineRule="atLeast"/>
      <w:ind w:left="1037" w:hanging="357"/>
      <w:outlineLvl w:val="4"/>
    </w:pPr>
    <w:rPr>
      <w:rFonts w:ascii="Arial" w:hAnsi="Arial" w:cs="Arial"/>
      <w:sz w:val="22"/>
      <w:szCs w:val="20"/>
      <w:lang w:val="en-AU"/>
    </w:rPr>
  </w:style>
  <w:style w:type="paragraph" w:customStyle="1" w:styleId="label8">
    <w:name w:val="label8"/>
    <w:basedOn w:val="Normal"/>
    <w:rsid w:val="00B23994"/>
    <w:pPr>
      <w:spacing w:before="0" w:after="0"/>
    </w:pPr>
    <w:rPr>
      <w:lang w:val="en-NZ" w:eastAsia="en-NZ"/>
    </w:rPr>
  </w:style>
  <w:style w:type="character" w:customStyle="1" w:styleId="spc">
    <w:name w:val="spc"/>
    <w:basedOn w:val="DefaultParagraphFont"/>
    <w:rsid w:val="00B23994"/>
  </w:style>
  <w:style w:type="paragraph" w:customStyle="1" w:styleId="labelled">
    <w:name w:val="labelled"/>
    <w:basedOn w:val="Normal"/>
    <w:rsid w:val="00B23994"/>
    <w:pPr>
      <w:spacing w:before="0" w:after="0"/>
    </w:pPr>
    <w:rPr>
      <w:lang w:val="en-NZ" w:eastAsia="en-NZ"/>
    </w:rPr>
  </w:style>
  <w:style w:type="paragraph" w:customStyle="1" w:styleId="text">
    <w:name w:val="text"/>
    <w:basedOn w:val="Normal"/>
    <w:rsid w:val="00B23994"/>
    <w:pPr>
      <w:spacing w:before="0" w:after="0"/>
    </w:pPr>
    <w:rPr>
      <w:lang w:val="en-NZ" w:eastAsia="en-NZ"/>
    </w:rPr>
  </w:style>
  <w:style w:type="paragraph" w:customStyle="1" w:styleId="Ednotepermnotesubpara">
    <w:name w:val="Ednote(permnotesubpara)"/>
    <w:basedOn w:val="Normal"/>
    <w:rsid w:val="00B23994"/>
    <w:pPr>
      <w:tabs>
        <w:tab w:val="right" w:pos="2296"/>
      </w:tabs>
      <w:spacing w:before="80" w:after="0"/>
      <w:ind w:left="2580" w:hanging="2580"/>
    </w:pPr>
    <w:rPr>
      <w:rFonts w:ascii="Arial" w:hAnsi="Arial"/>
      <w:i/>
      <w:sz w:val="18"/>
      <w:szCs w:val="20"/>
      <w:lang w:val="en-AU" w:eastAsia="en-AU"/>
    </w:rPr>
  </w:style>
  <w:style w:type="paragraph" w:customStyle="1" w:styleId="TableNAm">
    <w:name w:val="TableNAm"/>
    <w:basedOn w:val="Normal"/>
    <w:rsid w:val="00B23994"/>
    <w:pPr>
      <w:tabs>
        <w:tab w:val="left" w:pos="567"/>
      </w:tabs>
      <w:spacing w:after="0"/>
    </w:pPr>
    <w:rPr>
      <w:szCs w:val="20"/>
      <w:lang w:val="en-AU" w:eastAsia="en-AU"/>
    </w:rPr>
  </w:style>
  <w:style w:type="paragraph" w:customStyle="1" w:styleId="eqn-line2">
    <w:name w:val="eqn-line2"/>
    <w:basedOn w:val="Normal"/>
    <w:rsid w:val="00B23994"/>
    <w:pPr>
      <w:spacing w:before="83" w:after="216" w:line="288" w:lineRule="atLeast"/>
      <w:jc w:val="center"/>
    </w:pPr>
    <w:rPr>
      <w:lang w:val="en-NZ" w:eastAsia="en-NZ"/>
    </w:rPr>
  </w:style>
  <w:style w:type="character" w:customStyle="1" w:styleId="apple-converted-space">
    <w:name w:val="apple-converted-space"/>
    <w:basedOn w:val="DefaultParagraphFont"/>
    <w:rsid w:val="00B23994"/>
  </w:style>
  <w:style w:type="paragraph" w:customStyle="1" w:styleId="heading4nonum">
    <w:name w:val="heading4nonum"/>
    <w:basedOn w:val="Normal"/>
    <w:rsid w:val="00B23994"/>
    <w:pPr>
      <w:spacing w:before="100" w:beforeAutospacing="1" w:after="100" w:afterAutospacing="1"/>
    </w:pPr>
    <w:rPr>
      <w:lang w:val="en-NZ" w:eastAsia="en-NZ"/>
    </w:rPr>
  </w:style>
  <w:style w:type="paragraph" w:customStyle="1" w:styleId="heading6nonum">
    <w:name w:val="heading6nonum"/>
    <w:basedOn w:val="Normal"/>
    <w:rsid w:val="00B23994"/>
    <w:pPr>
      <w:spacing w:before="100" w:beforeAutospacing="1" w:after="100" w:afterAutospacing="1"/>
    </w:pPr>
    <w:rPr>
      <w:lang w:val="en-NZ" w:eastAsia="en-NZ"/>
    </w:rPr>
  </w:style>
  <w:style w:type="paragraph" w:customStyle="1" w:styleId="heading5nonum">
    <w:name w:val="heading5nonum"/>
    <w:basedOn w:val="Normal"/>
    <w:rsid w:val="00B23994"/>
    <w:pPr>
      <w:spacing w:before="100" w:beforeAutospacing="1" w:after="100" w:afterAutospacing="1"/>
    </w:pPr>
    <w:rPr>
      <w:lang w:val="en-NZ" w:eastAsia="en-NZ"/>
    </w:rPr>
  </w:style>
  <w:style w:type="paragraph" w:customStyle="1" w:styleId="Slidelabel2">
    <w:name w:val="Slide label 2"/>
    <w:basedOn w:val="Slidelabel"/>
    <w:qFormat/>
    <w:rsid w:val="00B23994"/>
    <w:pPr>
      <w:tabs>
        <w:tab w:val="clear" w:pos="2268"/>
        <w:tab w:val="left" w:pos="2835"/>
      </w:tabs>
      <w:ind w:left="1134"/>
    </w:pPr>
  </w:style>
  <w:style w:type="paragraph" w:customStyle="1" w:styleId="Blockquote">
    <w:name w:val="Blockquote"/>
    <w:basedOn w:val="Normal"/>
    <w:qFormat/>
    <w:rsid w:val="009F407B"/>
    <w:pPr>
      <w:spacing w:before="0" w:after="200" w:line="276" w:lineRule="auto"/>
      <w:ind w:left="720" w:right="720"/>
      <w:jc w:val="both"/>
    </w:pPr>
    <w:rPr>
      <w:rFonts w:ascii="Calibri" w:eastAsia="Calibri" w:hAnsi="Calibri"/>
      <w:sz w:val="20"/>
      <w:szCs w:val="22"/>
      <w:lang w:val="en-NZ"/>
    </w:rPr>
  </w:style>
  <w:style w:type="character" w:customStyle="1" w:styleId="Link">
    <w:name w:val="Link"/>
    <w:rsid w:val="00B16B39"/>
    <w:rPr>
      <w:color w:val="0000FF"/>
      <w:u w:val="single" w:color="0000FF"/>
    </w:rPr>
  </w:style>
  <w:style w:type="numbering" w:customStyle="1" w:styleId="ImportedStyle3">
    <w:name w:val="Imported Style 3"/>
    <w:rsid w:val="00B16B39"/>
    <w:pPr>
      <w:numPr>
        <w:numId w:val="35"/>
      </w:numPr>
    </w:pPr>
  </w:style>
  <w:style w:type="character" w:styleId="UnresolvedMention">
    <w:name w:val="Unresolved Mention"/>
    <w:basedOn w:val="DefaultParagraphFont"/>
    <w:uiPriority w:val="99"/>
    <w:semiHidden/>
    <w:unhideWhenUsed/>
    <w:rsid w:val="003979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261651963">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1949237685">
      <w:bodyDiv w:val="1"/>
      <w:marLeft w:val="0"/>
      <w:marRight w:val="0"/>
      <w:marTop w:val="0"/>
      <w:marBottom w:val="0"/>
      <w:divBdr>
        <w:top w:val="none" w:sz="0" w:space="0" w:color="auto"/>
        <w:left w:val="none" w:sz="0" w:space="0" w:color="auto"/>
        <w:bottom w:val="none" w:sz="0" w:space="0" w:color="auto"/>
        <w:right w:val="none" w:sz="0" w:space="0" w:color="auto"/>
      </w:divBdr>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fo@ilegis.org"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ilegis.org/" TargetMode="External"/><Relationship Id="rId17" Type="http://schemas.openxmlformats.org/officeDocument/2006/relationships/image" Target="media/image2.jpeg"/><Relationship Id="rId25" Type="http://schemas.openxmlformats.org/officeDocument/2006/relationships/oleObject" Target="embeddings/oleObject4.bin"/><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aj-icaj.ca/en/" TargetMode="External"/><Relationship Id="rId20" Type="http://schemas.openxmlformats.org/officeDocument/2006/relationships/image" Target="media/image4.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lc.ngo/conferences"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header" Target="header7.xml"/><Relationship Id="rId10" Type="http://schemas.openxmlformats.org/officeDocument/2006/relationships/hyperlink" Target="mailto:calc.loophole@gmail.com" TargetMode="External"/><Relationship Id="rId19" Type="http://schemas.openxmlformats.org/officeDocument/2006/relationships/oleObject" Target="embeddings/oleObject1.bin"/><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L.MarshSmith@gov.je"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image" Target="media/image9.e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canlii.org/en/nu/nucj/doc/2002/2002canlii53332/2002canlii53332.html?autocompleteStr=2002%20CanLII%2053332&amp;autocompletePos=1" TargetMode="External"/><Relationship Id="rId13" Type="http://schemas.openxmlformats.org/officeDocument/2006/relationships/hyperlink" Target="http://www.legislation.govt.nz/act/public/2017/0031/latest/DLM7064516.html?bt=by&amp;search=y_act_2017__ac%40ainf%40anif%40aaif_ac%40bn%40rn_50_a&amp;p=1" TargetMode="External"/><Relationship Id="rId18" Type="http://schemas.openxmlformats.org/officeDocument/2006/relationships/hyperlink" Target="https://www.un.org/development/desa/indigenouspeoples/declaration-on-the-rights-of-indigenous-peoples.html" TargetMode="External"/><Relationship Id="rId3" Type="http://schemas.openxmlformats.org/officeDocument/2006/relationships/hyperlink" Target="https://www.ccnsa-nccah.ca/docs/health/FS-InuitQaujimajatuqangitWellnessNunavut-Tagalik-EN.pdf" TargetMode="External"/><Relationship Id="rId21" Type="http://schemas.openxmlformats.org/officeDocument/2006/relationships/hyperlink" Target="http://brooklynworks.brooklaw.edu/bjil/vol29/iss3/2/" TargetMode="External"/><Relationship Id="rId7" Type="http://schemas.openxmlformats.org/officeDocument/2006/relationships/hyperlink" Target="http://www.trc.ca/websites/trcinstitution/File/2015/Findings/Calls_to_Action_English2.pdf" TargetMode="External"/><Relationship Id="rId12" Type="http://schemas.openxmlformats.org/officeDocument/2006/relationships/hyperlink" Target="http://www.courtsofnz.govt.nz/speechpapers/CLCM23M.pdf" TargetMode="External"/><Relationship Id="rId17" Type="http://schemas.openxmlformats.org/officeDocument/2006/relationships/hyperlink" Target="http://maorilawreview.co.nz/2014/05/ruruku-whakatupua-te-mana-o-te-awa-tupua" TargetMode="External"/><Relationship Id="rId2" Type="http://schemas.openxmlformats.org/officeDocument/2006/relationships/hyperlink" Target="http://arctic.journalhosting.ucalgary.ca/arctic/index.php/arctic/article/view/101" TargetMode="External"/><Relationship Id="rId16" Type="http://schemas.openxmlformats.org/officeDocument/2006/relationships/hyperlink" Target="http://maorilawreview.co.nz/2014/10/tuhoe-crown-settlement-te-wharehou-o-tuhoe-the-house-that-we-built/" TargetMode="External"/><Relationship Id="rId20" Type="http://schemas.openxmlformats.org/officeDocument/2006/relationships/hyperlink" Target="http://maorilawreview.co.nz/join/?_s2member_vars=catg..level..1..post..10795..LzIwMTYvMDcvdGUtdHVyZS1tby10ZS1yZW8tbWFvcmktMjAxNi1tYW9yaS1sYW5ndWFnZS1hY3QtMjAxNi1uZXctZGlyZWN0aW9ucy1vbGQtcHJvYmxlbXMv&amp;_s2member_sig=1511404799-eae6707ced5e6df5ee83ba028b62b8a4" TargetMode="External"/><Relationship Id="rId1" Type="http://schemas.openxmlformats.org/officeDocument/2006/relationships/hyperlink" Target="https://www.rwi.uzh.ch/de/oe/ZfR/forschung/projekte/p02.html" TargetMode="External"/><Relationship Id="rId6" Type="http://schemas.openxmlformats.org/officeDocument/2006/relationships/hyperlink" Target="http://nni.gov.nu.ca/sites/nni.gov.nu.ca/files/05%2520Bathurst%2520Mandate_Eng.pdf" TargetMode="External"/><Relationship Id="rId11" Type="http://schemas.openxmlformats.org/officeDocument/2006/relationships/hyperlink" Target="http://www.nzcpr.com/wp-content/uploads/2013/01/Richard-Hills-Report.pdf" TargetMode="External"/><Relationship Id="rId5" Type="http://schemas.openxmlformats.org/officeDocument/2006/relationships/hyperlink" Target="http://kugluktukhighschool.ca/1iq-foundationdoc.pdf" TargetMode="External"/><Relationship Id="rId15" Type="http://schemas.openxmlformats.org/officeDocument/2006/relationships/hyperlink" Target="http://vertigo.revues.org/16199" TargetMode="External"/><Relationship Id="rId10" Type="http://schemas.openxmlformats.org/officeDocument/2006/relationships/hyperlink" Target="http://www.waikato.ac.nz/__data/assets/pdf_file/0003/257484/Waikato-Law-Review-2013-Vol.-21.pdf" TargetMode="External"/><Relationship Id="rId19" Type="http://schemas.openxmlformats.org/officeDocument/2006/relationships/hyperlink" Target="https://www.tpk.govt.nz/docs/Maori%20Language%20Advisory%20Group%20Final%20Report%20English%20Version.pdf" TargetMode="External"/><Relationship Id="rId4" Type="http://schemas.openxmlformats.org/officeDocument/2006/relationships/hyperlink" Target="http://epub.sub.uni-hamburg.de/epub/volltexte/2013/24024/pdf/nunavut_literacy_development.pdf" TargetMode="External"/><Relationship Id="rId9" Type="http://schemas.openxmlformats.org/officeDocument/2006/relationships/hyperlink" Target="https://www.canlii.org/en/nu/nucj/doc/2017/2017nucj5/2017nucj5.html?autocompleteStr=2017%20NUCJ%205&amp;autocompletePos=1" TargetMode="External"/><Relationship Id="rId14" Type="http://schemas.openxmlformats.org/officeDocument/2006/relationships/hyperlink" Target="http://www.timesofindia.indiati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9206A-BA11-4BE5-BD5A-6DF201AC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28867</Words>
  <Characters>164546</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6</cp:revision>
  <cp:lastPrinted>2018-01-29T02:04:00Z</cp:lastPrinted>
  <dcterms:created xsi:type="dcterms:W3CDTF">2018-01-29T00:06:00Z</dcterms:created>
  <dcterms:modified xsi:type="dcterms:W3CDTF">2018-01-29T02:04:00Z</dcterms:modified>
</cp:coreProperties>
</file>